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999" w:type="pct"/>
        <w:tblInd w:w="0" w:type="dxa"/>
        <w:shd w:val="clear" w:color="auto" w:fill="auto"/>
        <w:tblLayout w:type="autofit"/>
        <w:tblCellMar>
          <w:top w:w="0" w:type="dxa"/>
          <w:left w:w="0" w:type="dxa"/>
          <w:bottom w:w="0" w:type="dxa"/>
          <w:right w:w="0" w:type="dxa"/>
        </w:tblCellMar>
      </w:tblPr>
      <w:tblGrid>
        <w:gridCol w:w="907"/>
        <w:gridCol w:w="2536"/>
        <w:gridCol w:w="11982"/>
      </w:tblGrid>
      <w:tr w14:paraId="06660731">
        <w:tblPrEx>
          <w:shd w:val="clear" w:color="auto" w:fill="auto"/>
          <w:tblCellMar>
            <w:top w:w="0" w:type="dxa"/>
            <w:left w:w="0" w:type="dxa"/>
            <w:bottom w:w="0" w:type="dxa"/>
            <w:right w:w="0" w:type="dxa"/>
          </w:tblCellMar>
        </w:tblPrEx>
        <w:trPr>
          <w:trHeight w:val="500" w:hRule="atLeast"/>
        </w:trPr>
        <w:tc>
          <w:tcPr>
            <w:tcW w:w="294" w:type="pct"/>
            <w:tcBorders>
              <w:top w:val="nil"/>
              <w:left w:val="nil"/>
              <w:bottom w:val="nil"/>
              <w:right w:val="nil"/>
            </w:tcBorders>
            <w:shd w:val="clear" w:color="auto" w:fill="auto"/>
            <w:noWrap/>
            <w:tcMar>
              <w:top w:w="15" w:type="dxa"/>
              <w:left w:w="15" w:type="dxa"/>
              <w:right w:w="15" w:type="dxa"/>
            </w:tcMar>
            <w:vAlign w:val="center"/>
          </w:tcPr>
          <w:p w14:paraId="3CCB5F3F">
            <w:pPr>
              <w:keepNext w:val="0"/>
              <w:keepLines w:val="0"/>
              <w:widowControl/>
              <w:suppressLineNumbers w:val="0"/>
              <w:jc w:val="left"/>
              <w:textAlignment w:val="center"/>
              <w:rPr>
                <w:rFonts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附件3</w:t>
            </w:r>
          </w:p>
        </w:tc>
        <w:tc>
          <w:tcPr>
            <w:tcW w:w="822" w:type="pct"/>
            <w:tcBorders>
              <w:top w:val="nil"/>
              <w:left w:val="nil"/>
              <w:bottom w:val="nil"/>
              <w:right w:val="nil"/>
            </w:tcBorders>
            <w:shd w:val="clear" w:color="auto" w:fill="auto"/>
            <w:noWrap/>
            <w:tcMar>
              <w:top w:w="15" w:type="dxa"/>
              <w:left w:w="15" w:type="dxa"/>
              <w:right w:w="15" w:type="dxa"/>
            </w:tcMar>
            <w:vAlign w:val="center"/>
          </w:tcPr>
          <w:p w14:paraId="7551137F">
            <w:pPr>
              <w:rPr>
                <w:rFonts w:hint="eastAsia" w:ascii="宋体" w:hAnsi="宋体" w:eastAsia="宋体" w:cs="宋体"/>
                <w:i w:val="0"/>
                <w:color w:val="000000"/>
                <w:sz w:val="28"/>
                <w:szCs w:val="28"/>
                <w:u w:val="none"/>
              </w:rPr>
            </w:pPr>
          </w:p>
        </w:tc>
        <w:tc>
          <w:tcPr>
            <w:tcW w:w="3883" w:type="pct"/>
            <w:tcBorders>
              <w:top w:val="nil"/>
              <w:left w:val="nil"/>
              <w:bottom w:val="nil"/>
              <w:right w:val="nil"/>
            </w:tcBorders>
            <w:shd w:val="clear" w:color="auto" w:fill="auto"/>
            <w:noWrap/>
            <w:tcMar>
              <w:top w:w="15" w:type="dxa"/>
              <w:left w:w="15" w:type="dxa"/>
              <w:right w:w="15" w:type="dxa"/>
            </w:tcMar>
            <w:vAlign w:val="center"/>
          </w:tcPr>
          <w:p w14:paraId="0624761B">
            <w:pPr>
              <w:jc w:val="both"/>
              <w:rPr>
                <w:rFonts w:hint="eastAsia" w:ascii="宋体" w:hAnsi="宋体" w:eastAsia="宋体" w:cs="宋体"/>
                <w:i w:val="0"/>
                <w:color w:val="000000"/>
                <w:sz w:val="22"/>
                <w:szCs w:val="22"/>
                <w:u w:val="none"/>
              </w:rPr>
            </w:pPr>
          </w:p>
        </w:tc>
      </w:tr>
      <w:tr w14:paraId="13F8EF8A">
        <w:tblPrEx>
          <w:tblCellMar>
            <w:top w:w="0" w:type="dxa"/>
            <w:left w:w="0" w:type="dxa"/>
            <w:bottom w:w="0" w:type="dxa"/>
            <w:right w:w="0" w:type="dxa"/>
          </w:tblCellMar>
        </w:tblPrEx>
        <w:trPr>
          <w:trHeight w:val="660" w:hRule="atLeast"/>
        </w:trPr>
        <w:tc>
          <w:tcPr>
            <w:tcW w:w="5000" w:type="pct"/>
            <w:gridSpan w:val="3"/>
            <w:tcBorders>
              <w:top w:val="nil"/>
              <w:left w:val="nil"/>
              <w:bottom w:val="nil"/>
              <w:right w:val="nil"/>
            </w:tcBorders>
            <w:shd w:val="clear" w:color="auto" w:fill="auto"/>
            <w:tcMar>
              <w:top w:w="15" w:type="dxa"/>
              <w:left w:w="15" w:type="dxa"/>
              <w:right w:w="15" w:type="dxa"/>
            </w:tcMar>
            <w:vAlign w:val="center"/>
          </w:tcPr>
          <w:p w14:paraId="25EC7FE9">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52"/>
                <w:szCs w:val="52"/>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鄂托克前旗昂素镇上级部门收回事项清单</w:t>
            </w:r>
          </w:p>
        </w:tc>
      </w:tr>
      <w:tr w14:paraId="65752610">
        <w:tblPrEx>
          <w:tblCellMar>
            <w:top w:w="0" w:type="dxa"/>
            <w:left w:w="0" w:type="dxa"/>
            <w:bottom w:w="0" w:type="dxa"/>
            <w:right w:w="0" w:type="dxa"/>
          </w:tblCellMar>
        </w:tblPrEx>
        <w:trPr>
          <w:trHeight w:val="40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B1876">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序号</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B2115">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事项名称</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2F423">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承接部门及工作方式</w:t>
            </w:r>
          </w:p>
        </w:tc>
      </w:tr>
      <w:tr w14:paraId="0E4F4971">
        <w:tblPrEx>
          <w:tblCellMar>
            <w:top w:w="0" w:type="dxa"/>
            <w:left w:w="0" w:type="dxa"/>
            <w:bottom w:w="0" w:type="dxa"/>
            <w:right w:w="0" w:type="dxa"/>
          </w:tblCellMar>
        </w:tblPrEx>
        <w:trPr>
          <w:trHeight w:val="405"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FDAFC">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一、民生服务（9项）</w:t>
            </w:r>
          </w:p>
        </w:tc>
      </w:tr>
      <w:tr w14:paraId="7D750766">
        <w:tblPrEx>
          <w:tblCellMar>
            <w:top w:w="0" w:type="dxa"/>
            <w:left w:w="0" w:type="dxa"/>
            <w:bottom w:w="0" w:type="dxa"/>
            <w:right w:w="0" w:type="dxa"/>
          </w:tblCellMar>
        </w:tblPrEx>
        <w:trPr>
          <w:trHeight w:val="34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B5DA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5A914">
            <w:pPr>
              <w:keepNext w:val="0"/>
              <w:keepLines w:val="0"/>
              <w:widowControl/>
              <w:suppressLineNumbers w:val="0"/>
              <w:jc w:val="both"/>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适龄儿童、少年因身体状况需要延缓入学或者休学审批。</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DC28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一、中小学生休学流程：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1.由学生父母或其他法定监护人向所在学校提出申请（提供县级以上医疗机构证明、病历等材料）；</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2.学校确认申请信息；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3.学校报学籍管理部门；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4.学籍管理部门核准；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5.休学期满后确需继续休学的，应重新申请办理。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二、幼儿园缓学（应入小学暂不入小学）流程：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1.家长到幼儿园提出缓学申请，幼儿园根据空余学位开具接受证明；</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2.根据幼儿园开具的接受证明，集中开具缓学证；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3.向幼儿园统一发放缓学证明。</w:t>
            </w:r>
          </w:p>
        </w:tc>
      </w:tr>
      <w:tr w14:paraId="0250FC0B">
        <w:tblPrEx>
          <w:tblCellMar>
            <w:top w:w="0" w:type="dxa"/>
            <w:left w:w="0" w:type="dxa"/>
            <w:bottom w:w="0" w:type="dxa"/>
            <w:right w:w="0" w:type="dxa"/>
          </w:tblCellMar>
        </w:tblPrEx>
        <w:trPr>
          <w:trHeight w:val="25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1A70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B2DB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违规多领取高龄补贴、最低生活保障、特困人员基本生活保障、残疾人两项补贴等民政补贴的追缴。</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956F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1.对日常工作、群众举报、上级交办或其他途径中发现疑似以虚报、隐瞒、伪造等手段，骗取社会救助资金的行为，决定是否立案；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违规领取行为，由民政局决定停止发放社会救助资金，联系相关镇对当事人信息进行确认，及时向当事人或其家属发出追缴通知，责令限期退回非法获取的救助资金，可根据情况和法律法规处以罚款、给予处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3.广泛宣传社会救助资金的发放政策，让公众了解违规领取的后果，增强其法律意识和诚信意识；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4.定期对补贴发放对象进行全面核查，核实相关信息的真实性和是否发生变化。</w:t>
            </w:r>
          </w:p>
        </w:tc>
      </w:tr>
      <w:tr w14:paraId="153C39B9">
        <w:tblPrEx>
          <w:tblCellMar>
            <w:top w:w="0" w:type="dxa"/>
            <w:left w:w="0" w:type="dxa"/>
            <w:bottom w:w="0" w:type="dxa"/>
            <w:right w:w="0" w:type="dxa"/>
          </w:tblCellMar>
        </w:tblPrEx>
        <w:trPr>
          <w:trHeight w:val="137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7DA9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5205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违规领取社会保险金的追缴。</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EC7E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旗人力资源和社会保障局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1.对日常工作、群众举报、上级交办或其他途径中发现疑似违规领取社会保险金的行为，决定是否立案；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违规领取行为，由人力资源和社会保障局决定停止发放社会保险金，联系所在镇对当事人信息进行确认，及时向当事人或其家属发出追缴通知，责令限期退回非法获取的社会保险金，处骗取金额二倍以上五倍以下的罚</w:t>
            </w:r>
          </w:p>
        </w:tc>
      </w:tr>
      <w:tr w14:paraId="79A86D9E">
        <w:tblPrEx>
          <w:tblCellMar>
            <w:top w:w="0" w:type="dxa"/>
            <w:left w:w="0" w:type="dxa"/>
            <w:bottom w:w="0" w:type="dxa"/>
            <w:right w:w="0" w:type="dxa"/>
          </w:tblCellMar>
        </w:tblPrEx>
        <w:trPr>
          <w:trHeight w:val="116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68F90">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A3058">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违规领取社会保险金的追缴。</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DBD0A">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款；</w:t>
            </w:r>
          </w:p>
          <w:p w14:paraId="7B9ED2B9">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3.广泛宣传社会保险金的发放政策，让公众了解违规领取的后果，增强其法律意识和诚信意识；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4.定期对社会保险金发放对象进行全面核查，核实相关信息的真实性和是否发生变化。</w:t>
            </w:r>
          </w:p>
        </w:tc>
      </w:tr>
      <w:tr w14:paraId="0351CA29">
        <w:tblPrEx>
          <w:tblCellMar>
            <w:top w:w="0" w:type="dxa"/>
            <w:left w:w="0" w:type="dxa"/>
            <w:bottom w:w="0" w:type="dxa"/>
            <w:right w:w="0" w:type="dxa"/>
          </w:tblCellMar>
        </w:tblPrEx>
        <w:trPr>
          <w:trHeight w:val="18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5407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CAE0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农村牧区生活饮用水水质检测监督。</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DE55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1.根据城乡供水实际情况，科学规划并设立水质监测点，实现广泛覆盖；</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2.严格按照采样标准，定时定点采集出厂水、水源水及管网末梢水等水样，确保样品的代表性和完整性；</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3.对采集的水样进行实验室检测，分析水质指标；</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4.将检测结果及时上报至相关部门，并进行数据分析，全面掌握饮用水卫生安全现状；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5.按照相关规定，定期公开水质信息，接受社会监督，并对发现的问题进行及时反馈和处理。</w:t>
            </w:r>
          </w:p>
        </w:tc>
      </w:tr>
      <w:tr w14:paraId="230B8452">
        <w:tblPrEx>
          <w:tblCellMar>
            <w:top w:w="0" w:type="dxa"/>
            <w:left w:w="0" w:type="dxa"/>
            <w:bottom w:w="0" w:type="dxa"/>
            <w:right w:w="0" w:type="dxa"/>
          </w:tblCellMar>
        </w:tblPrEx>
        <w:trPr>
          <w:trHeight w:val="66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8179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845B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城乡居民基本医疗保险已缴费人员统计。</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7E8F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旗医疗保障局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通过医保缴费系统统计城乡居民基本医疗保险缴费情况。</w:t>
            </w:r>
          </w:p>
        </w:tc>
      </w:tr>
      <w:tr w14:paraId="649356D9">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99D6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4204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残疾人临时救助资金审核发放。</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7E29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1.对申请残疾人临时救助资料进行审核；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2.经审核，对符合条件的及时核发救助金。</w:t>
            </w:r>
          </w:p>
        </w:tc>
      </w:tr>
      <w:tr w14:paraId="5D4B49D3">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C948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01EF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残疾人助听器适配补贴办理。</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4530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1.对申请残疾人助听器适配补贴资料进行审核；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2.对符合条件的，批准并发放补贴资金。</w:t>
            </w:r>
          </w:p>
        </w:tc>
      </w:tr>
      <w:tr w14:paraId="2FED7585">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6B4A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30E8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残疾人康复补助办理。</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1485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1.对申请残疾人康复补助资料进行审核；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2.对符合条件的，批准并发放补助资金。</w:t>
            </w:r>
          </w:p>
        </w:tc>
      </w:tr>
      <w:tr w14:paraId="3951C53E">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8C3B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4206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烈士陵园等红色教育基地修缮维护工作。</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95AD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旗退役军人事务局：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1.定期对烈士陵园等红色教育基地进行排查；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2.对排查发现的破损情况进行修缮维护。</w:t>
            </w:r>
          </w:p>
        </w:tc>
      </w:tr>
      <w:tr w14:paraId="7DDD36D5">
        <w:tblPrEx>
          <w:tblCellMar>
            <w:top w:w="0" w:type="dxa"/>
            <w:left w:w="0" w:type="dxa"/>
            <w:bottom w:w="0" w:type="dxa"/>
            <w:right w:w="0" w:type="dxa"/>
          </w:tblCellMar>
        </w:tblPrEx>
        <w:trPr>
          <w:trHeight w:val="48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F17B3">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28"/>
                <w:szCs w:val="28"/>
                <w:u w:val="none"/>
                <w:lang w:val="en-US" w:eastAsia="zh-CN" w:bidi="ar"/>
              </w:rPr>
              <w:t>二、平安法治（8项）</w:t>
            </w:r>
          </w:p>
        </w:tc>
      </w:tr>
      <w:tr w14:paraId="50F54C9B">
        <w:tblPrEx>
          <w:tblCellMar>
            <w:top w:w="0" w:type="dxa"/>
            <w:left w:w="0" w:type="dxa"/>
            <w:bottom w:w="0" w:type="dxa"/>
            <w:right w:w="0" w:type="dxa"/>
          </w:tblCellMar>
        </w:tblPrEx>
        <w:trPr>
          <w:trHeight w:val="720" w:hRule="atLeast"/>
        </w:trPr>
        <w:tc>
          <w:tcPr>
            <w:tcW w:w="294"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9C9AF4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822"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838902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办理涉法涉诉信访案件。</w:t>
            </w:r>
          </w:p>
        </w:tc>
        <w:tc>
          <w:tcPr>
            <w:tcW w:w="3883"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8F4750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旗委政法委</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在接收到涉法涉诉信访案件后，依法进行调查核实，并依据相关法律法规和政策规定，对信访人的诉求进行答复和处理。</w:t>
            </w:r>
          </w:p>
        </w:tc>
      </w:tr>
      <w:tr w14:paraId="7F9E0AF4">
        <w:tblPrEx>
          <w:tblCellMar>
            <w:top w:w="0" w:type="dxa"/>
            <w:left w:w="0" w:type="dxa"/>
            <w:bottom w:w="0" w:type="dxa"/>
            <w:right w:w="0" w:type="dxa"/>
          </w:tblCellMar>
        </w:tblPrEx>
        <w:trPr>
          <w:trHeight w:val="680" w:hRule="atLeast"/>
        </w:trPr>
        <w:tc>
          <w:tcPr>
            <w:tcW w:w="294" w:type="pct"/>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4755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1</w:t>
            </w:r>
          </w:p>
        </w:tc>
        <w:tc>
          <w:tcPr>
            <w:tcW w:w="822" w:type="pct"/>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BD7D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建设微型消防站。</w:t>
            </w:r>
          </w:p>
        </w:tc>
        <w:tc>
          <w:tcPr>
            <w:tcW w:w="3883" w:type="pct"/>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6579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指导嘎查（社区）按需求建设微型消防站。</w:t>
            </w:r>
          </w:p>
        </w:tc>
      </w:tr>
      <w:tr w14:paraId="663415C6">
        <w:tblPrEx>
          <w:tblCellMar>
            <w:top w:w="0" w:type="dxa"/>
            <w:left w:w="0" w:type="dxa"/>
            <w:bottom w:w="0" w:type="dxa"/>
            <w:right w:w="0" w:type="dxa"/>
          </w:tblCellMar>
        </w:tblPrEx>
        <w:trPr>
          <w:trHeight w:val="126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9573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2</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02EC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烟花爆竹经营企业的安全监督检查。</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8F9D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1.结合实际情况，制定安全隐患排查的方案；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2.联合有关部门进行安全隐患排查工作，并做好相关检查台账；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3.对检查出的安全隐患问题进行整改。</w:t>
            </w:r>
          </w:p>
        </w:tc>
      </w:tr>
      <w:tr w14:paraId="6A3AA9A1">
        <w:tblPrEx>
          <w:tblCellMar>
            <w:top w:w="0" w:type="dxa"/>
            <w:left w:w="0" w:type="dxa"/>
            <w:bottom w:w="0" w:type="dxa"/>
            <w:right w:w="0" w:type="dxa"/>
          </w:tblCellMar>
        </w:tblPrEx>
        <w:trPr>
          <w:trHeight w:val="24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26EB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3</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CA0F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特种设备安全监督检查。</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0CE3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1.科学编制监督检查计划，综合考虑特种设备数量、分布、使用频率等因素，确定检查重点、范围和周期；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2.详细检查使用单位安全管理情况，包括安全管理制度建立与执行、安全管理人员配备与履职、应急救援预案制定与演练等；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3.严格核查特种设备本身状况，如是否办理使用登记、是否在检验有效期内、安全附件和保护装置是否灵敏可靠、运行参数是否正常等；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4.依法依规查处违规行为，对存在安全隐患的单位下达特种设备安全监察指令，跟踪整改落实情况，对拒不整改或整改不到位的实施行政处罚。</w:t>
            </w:r>
          </w:p>
        </w:tc>
      </w:tr>
      <w:tr w14:paraId="7E5A49EA">
        <w:tblPrEx>
          <w:tblCellMar>
            <w:top w:w="0" w:type="dxa"/>
            <w:left w:w="0" w:type="dxa"/>
            <w:bottom w:w="0" w:type="dxa"/>
            <w:right w:w="0" w:type="dxa"/>
          </w:tblCellMar>
        </w:tblPrEx>
        <w:trPr>
          <w:trHeight w:val="22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97CF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4</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59C1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特种设备事故调查处理。</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A68E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1.迅速响应事故报告，第一时间抵达事故现场，保护现场完整，开展细致勘查，留存影像、物证等关键资料；</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2.全面深入调查，访谈涉事人员，查阅运行记录、维护档案等资料，借助专业检测、技术鉴定等手段，精准剖析事故原因；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3.依据法律法规和调查结果，科学判定事故性质，明确划分责任，对责任单位和个人提出处理意见；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4.系统总结事故教训，形成详实调查报告，向社会和行业通报，提出针对性强的安全防范和整改建议，督促相关单位落实。</w:t>
            </w:r>
          </w:p>
        </w:tc>
      </w:tr>
      <w:tr w14:paraId="243A3621">
        <w:tblPrEx>
          <w:tblCellMar>
            <w:top w:w="0" w:type="dxa"/>
            <w:left w:w="0" w:type="dxa"/>
            <w:bottom w:w="0" w:type="dxa"/>
            <w:right w:w="0" w:type="dxa"/>
          </w:tblCellMar>
        </w:tblPrEx>
        <w:trPr>
          <w:trHeight w:val="18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0F7D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5</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3A43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特种设备事故应急处置。</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72BD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1.结合地区实际，制定特种设备的应急预案，明确应急组织机构、职责分工、响应程序等关键内容，并定期修订完善；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2.组织并督促实施应急演练，提升部门协同、人员实操能力，确保在事故发生时，能快速反应，高效调配应急救援资源；</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3.事故发生后，立即启动应急响应，组织专业救援力量抢险救援，同时做好现场警戒、人员疏散等工作，防止次生灾害；</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4.及时、准确发布事故信息，回应社会关切，做好舆论引导，事故结束后，对处置过程复盘评估，改进不足。</w:t>
            </w:r>
          </w:p>
        </w:tc>
      </w:tr>
      <w:tr w14:paraId="16E26217">
        <w:tblPrEx>
          <w:tblCellMar>
            <w:top w:w="0" w:type="dxa"/>
            <w:left w:w="0" w:type="dxa"/>
            <w:bottom w:w="0" w:type="dxa"/>
            <w:right w:w="0" w:type="dxa"/>
          </w:tblCellMar>
        </w:tblPrEx>
        <w:trPr>
          <w:trHeight w:val="85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997B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6</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66B3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电梯安全监督检查。</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3439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1.按照规定频次对辖区内各类电梯开展现场检查；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2.检查电梯维保单位维保工作质量，包括维保计划执行、维保记录规范、故障处理及时性等方面；</w:t>
            </w:r>
          </w:p>
        </w:tc>
      </w:tr>
      <w:tr w14:paraId="3D818939">
        <w:tblPrEx>
          <w:tblCellMar>
            <w:top w:w="0" w:type="dxa"/>
            <w:left w:w="0" w:type="dxa"/>
            <w:bottom w:w="0" w:type="dxa"/>
            <w:right w:w="0" w:type="dxa"/>
          </w:tblCellMar>
        </w:tblPrEx>
        <w:trPr>
          <w:trHeight w:val="99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84E7D">
            <w:pPr>
              <w:keepNext w:val="0"/>
              <w:keepLines w:val="0"/>
              <w:widowControl/>
              <w:suppressLineNumbers w:val="0"/>
              <w:jc w:val="center"/>
              <w:textAlignment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6</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05425">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电梯安全监督检查。</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3B1A2">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3.督促电梯使用单位落实安全管理主体责任，如落实“日管控、周排查、月调度”工作制度情况、设置安全管理机构或人员、建立安全技术档案等；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4.及时处理电梯相关投诉举报，快速组织调查核实，对存在问题的电梯依法采取停止使用等措施，消除安全隐患。</w:t>
            </w:r>
          </w:p>
        </w:tc>
      </w:tr>
      <w:tr w14:paraId="28C41726">
        <w:tblPrEx>
          <w:tblCellMar>
            <w:top w:w="0" w:type="dxa"/>
            <w:left w:w="0" w:type="dxa"/>
            <w:bottom w:w="0" w:type="dxa"/>
            <w:right w:w="0" w:type="dxa"/>
          </w:tblCellMar>
        </w:tblPrEx>
        <w:trPr>
          <w:trHeight w:val="14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1DEE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7</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93A1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危险化学品领域安全检查。</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4525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1.结合实际情况，制定对各重点行业领域的安全隐患排查的方案；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2.联合有关部门对各个领域进行安全隐患排查工作，并做好相关检查台账；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3.对检查出的安全隐患问题进行整改。</w:t>
            </w:r>
          </w:p>
        </w:tc>
      </w:tr>
      <w:tr w14:paraId="0E7E1422">
        <w:tblPrEx>
          <w:tblCellMar>
            <w:top w:w="0" w:type="dxa"/>
            <w:left w:w="0" w:type="dxa"/>
            <w:bottom w:w="0" w:type="dxa"/>
            <w:right w:w="0" w:type="dxa"/>
          </w:tblCellMar>
        </w:tblPrEx>
        <w:trPr>
          <w:trHeight w:val="405"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C3E7D">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28"/>
                <w:szCs w:val="28"/>
                <w:u w:val="none"/>
                <w:lang w:val="en-US" w:eastAsia="zh-CN" w:bidi="ar"/>
              </w:rPr>
              <w:t>三、乡村振兴（8项）</w:t>
            </w:r>
          </w:p>
        </w:tc>
      </w:tr>
      <w:tr w14:paraId="1A49F30C">
        <w:tblPrEx>
          <w:tblCellMar>
            <w:top w:w="0" w:type="dxa"/>
            <w:left w:w="0" w:type="dxa"/>
            <w:bottom w:w="0" w:type="dxa"/>
            <w:right w:w="0" w:type="dxa"/>
          </w:tblCellMar>
        </w:tblPrEx>
        <w:trPr>
          <w:trHeight w:val="156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A37C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8</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CA43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设施农业用地的备案。</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E06C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1.由用地主体提出设施用地申请；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2.对选址情况进行审核；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3.告知申请人设施用地办理情况；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4.核对资料后出具备案意见。</w:t>
            </w:r>
          </w:p>
        </w:tc>
      </w:tr>
      <w:tr w14:paraId="091EA76B">
        <w:tblPrEx>
          <w:tblCellMar>
            <w:top w:w="0" w:type="dxa"/>
            <w:left w:w="0" w:type="dxa"/>
            <w:bottom w:w="0" w:type="dxa"/>
            <w:right w:w="0" w:type="dxa"/>
          </w:tblCellMar>
        </w:tblPrEx>
        <w:trPr>
          <w:trHeight w:val="156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352B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19</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4189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农药日常监管及生产经营存在问题的处置。</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101A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1.完善监管制度和机制；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2.对辖区内的农药生产和经营单位进行定期和不定期的监督检查，确保农药的生产经营活动符合相关法律法规的要求；</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3.对农药生产经营单位存在违法违规行为依法进行查处；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4.开展农药安全宣传和培训，提高农药生产经营者和使用者的安全意识和法律意识。</w:t>
            </w:r>
          </w:p>
        </w:tc>
      </w:tr>
      <w:tr w14:paraId="4F6DB282">
        <w:tblPrEx>
          <w:tblCellMar>
            <w:top w:w="0" w:type="dxa"/>
            <w:left w:w="0" w:type="dxa"/>
            <w:bottom w:w="0" w:type="dxa"/>
            <w:right w:w="0" w:type="dxa"/>
          </w:tblCellMar>
        </w:tblPrEx>
        <w:trPr>
          <w:trHeight w:val="16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F22C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0</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7E3C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肥料日常监管及生产经营存在问题的处置。</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7F3F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1.完善监管制度和机制；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2.对辖区内的肥料生产和经营单位进行定期和不定期的监督检查，确保肥料的生产经营活动符合相关法律法规的要求；</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3.对肥料生产经营单位存在违法违规行为依法进行查处；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4.开展肥料安全宣传和培训，提高肥料生产经营者和使用者的安全意识和法律意识。</w:t>
            </w:r>
          </w:p>
        </w:tc>
      </w:tr>
      <w:tr w14:paraId="7EE5B3C2">
        <w:tblPrEx>
          <w:tblCellMar>
            <w:top w:w="0" w:type="dxa"/>
            <w:left w:w="0" w:type="dxa"/>
            <w:bottom w:w="0" w:type="dxa"/>
            <w:right w:w="0" w:type="dxa"/>
          </w:tblCellMar>
        </w:tblPrEx>
        <w:trPr>
          <w:trHeight w:val="184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6253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1</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690E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开展种子执法监督，依法惩处侵害种子使用者、生产经营者权益和侵犯植物新品种权的违法行为。</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0BD7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一、行政执法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1.进入种子生产、经营、使用等场所进行现场检查，了解种子的生产、质量、销售等情况；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2.对涉嫌违法违规的种子进行抽样检查，包括种子的品种、质量、标签、包装等；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3.对相关人员进行询问，调查种子的来源、去向、销售情况等，以获取必要的证据；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4.查阅、复制与种子生产、经营、使用等相关的资料，如生产记录、销售台账、质量检验报告等；</w:t>
            </w:r>
          </w:p>
        </w:tc>
      </w:tr>
      <w:tr w14:paraId="3100B724">
        <w:tblPrEx>
          <w:tblCellMar>
            <w:top w:w="0" w:type="dxa"/>
            <w:left w:w="0" w:type="dxa"/>
            <w:bottom w:w="0" w:type="dxa"/>
            <w:right w:w="0" w:type="dxa"/>
          </w:tblCellMar>
        </w:tblPrEx>
        <w:trPr>
          <w:trHeight w:val="19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AF635">
            <w:pPr>
              <w:keepNext w:val="0"/>
              <w:keepLines w:val="0"/>
              <w:widowControl/>
              <w:suppressLineNumbers w:val="0"/>
              <w:jc w:val="center"/>
              <w:textAlignment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1</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D8678">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开展种子执法监督，依法惩处侵害种子使用者、生产经营者权益和侵犯植物新品种权的违法行为。</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90824">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5.查封、扣押有证据证明违法生产经营的种子，以及用于违法生产经营的工具、设备及运输工具等；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6.对于发现的违法违规行为，责令相关单位或个人立即整改，消除违法状态；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7.对于拒不整改或整改不到位的，依法进行处罚，包括警告、罚款、吊销许可证等。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二、处理侵权纠纷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1.接受种子使用者、生产经营者及植物新品种权所有人的投诉，对侵犯其合法权益的行为进行调查处理；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2.在双方当事人自愿的基础上，对侵犯植物新品种权所造成的损害赔偿进行调解；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3.对于侵犯植物新品种权的行为，责令侵权人停止侵权行为，没收违法所得和种子，并依法进行罚款。</w:t>
            </w:r>
          </w:p>
        </w:tc>
      </w:tr>
      <w:tr w14:paraId="51D8AB49">
        <w:tblPrEx>
          <w:shd w:val="clear" w:color="auto" w:fill="auto"/>
          <w:tblCellMar>
            <w:top w:w="0" w:type="dxa"/>
            <w:left w:w="0" w:type="dxa"/>
            <w:bottom w:w="0" w:type="dxa"/>
            <w:right w:w="0" w:type="dxa"/>
          </w:tblCellMar>
        </w:tblPrEx>
        <w:trPr>
          <w:trHeight w:val="19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E540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2</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21F3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日常动物疫情信息采集。</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7085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1.收集相关动物的病历记录，包括发病时间、症状、诊断结果等，以及疫病在动物群体中的传播情况；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2.对疫情发生地进行实地观察，记录动物的行为、体征等异常情况；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3.根据不同动物种类和采样需求，选择合适的采样方法采集样品；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4.在确认疫情后，及时向公众发布疫情</w:t>
            </w:r>
            <w:bookmarkStart w:id="0" w:name="_GoBack"/>
            <w:bookmarkEnd w:id="0"/>
            <w:r>
              <w:rPr>
                <w:rFonts w:hint="eastAsia" w:ascii="仿宋_GB2312" w:hAnsi="宋体" w:eastAsia="仿宋_GB2312" w:cs="仿宋_GB2312"/>
                <w:i w:val="0"/>
                <w:color w:val="000000"/>
                <w:kern w:val="0"/>
                <w:sz w:val="24"/>
                <w:szCs w:val="24"/>
                <w:u w:val="none"/>
                <w:lang w:val="en-US" w:eastAsia="zh-CN" w:bidi="ar"/>
              </w:rPr>
              <w:t>信息，包括疫情类型、发生地、影响范围等；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5.加强疫情知识的宣传和教育，提高公众对动物疫情的认识和防范意识。</w:t>
            </w:r>
          </w:p>
        </w:tc>
      </w:tr>
      <w:tr w14:paraId="004873A4">
        <w:tblPrEx>
          <w:tblCellMar>
            <w:top w:w="0" w:type="dxa"/>
            <w:left w:w="0" w:type="dxa"/>
            <w:bottom w:w="0" w:type="dxa"/>
            <w:right w:w="0" w:type="dxa"/>
          </w:tblCellMar>
        </w:tblPrEx>
        <w:trPr>
          <w:trHeight w:val="1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BFD2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3</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6C92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动物检疫。</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FA3A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1.开展动物检疫工作；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2.开展检疫监管工作。</w:t>
            </w:r>
          </w:p>
        </w:tc>
      </w:tr>
      <w:tr w14:paraId="3EF966DA">
        <w:tblPrEx>
          <w:tblCellMar>
            <w:top w:w="0" w:type="dxa"/>
            <w:left w:w="0" w:type="dxa"/>
            <w:bottom w:w="0" w:type="dxa"/>
            <w:right w:w="0" w:type="dxa"/>
          </w:tblCellMar>
        </w:tblPrEx>
        <w:trPr>
          <w:trHeight w:val="126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031B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4</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80A0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屠宰检疫。</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9268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1.负责动物屠宰相关活动的监督管理工作；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2.负责对屠宰动物、动物产品实施检疫；检疫合格的，出具检疫证明、加施检疫标志；</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3.建立定点屠宰厂（场）信用档案，记录日常监督检查等情况。</w:t>
            </w:r>
          </w:p>
        </w:tc>
      </w:tr>
      <w:tr w14:paraId="6CD6ECA1">
        <w:tblPrEx>
          <w:tblCellMar>
            <w:top w:w="0" w:type="dxa"/>
            <w:left w:w="0" w:type="dxa"/>
            <w:bottom w:w="0" w:type="dxa"/>
            <w:right w:w="0" w:type="dxa"/>
          </w:tblCellMar>
        </w:tblPrEx>
        <w:trPr>
          <w:trHeight w:val="15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9A57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5</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1C2C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管辖水库的降等、报废和安全管理工作。</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0EFF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1.负责对所管辖的水库进行监督检查；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2.对需要降等、报废的水库进行论证；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3.根据审批权限审批；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4.负责对审批后降等、报废的水库实施各项措施。</w:t>
            </w:r>
          </w:p>
        </w:tc>
      </w:tr>
      <w:tr w14:paraId="1083DBA5">
        <w:tblPrEx>
          <w:tblCellMar>
            <w:top w:w="0" w:type="dxa"/>
            <w:left w:w="0" w:type="dxa"/>
            <w:bottom w:w="0" w:type="dxa"/>
            <w:right w:w="0" w:type="dxa"/>
          </w:tblCellMar>
        </w:tblPrEx>
        <w:trPr>
          <w:trHeight w:val="492"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5FAC3">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28"/>
                <w:szCs w:val="28"/>
                <w:u w:val="none"/>
                <w:lang w:val="en-US" w:eastAsia="zh-CN" w:bidi="ar"/>
              </w:rPr>
              <w:t>四、城乡建设（20项）</w:t>
            </w:r>
          </w:p>
        </w:tc>
      </w:tr>
      <w:tr w14:paraId="3AA87AC2">
        <w:tblPrEx>
          <w:tblCellMar>
            <w:top w:w="0" w:type="dxa"/>
            <w:left w:w="0" w:type="dxa"/>
            <w:bottom w:w="0" w:type="dxa"/>
            <w:right w:w="0" w:type="dxa"/>
          </w:tblCellMar>
        </w:tblPrEx>
        <w:trPr>
          <w:trHeight w:val="133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7D51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6</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AC7D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辖区乡道、村道建设工作。</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1DB8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1.负责加强乡道村道的日常建设及项目建设计划上报、资金争取、手续办理等；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2.负责公路病害的巡查、发现、报告、处置及修复工作；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3.负责对镇上报的安全隐患的路段组织相关单位进行实地调查了解情况，对确需整改的路段进行施工设计并组织施</w:t>
            </w:r>
          </w:p>
        </w:tc>
      </w:tr>
      <w:tr w14:paraId="170EE1E3">
        <w:tblPrEx>
          <w:tblCellMar>
            <w:top w:w="0" w:type="dxa"/>
            <w:left w:w="0" w:type="dxa"/>
            <w:bottom w:w="0" w:type="dxa"/>
            <w:right w:w="0" w:type="dxa"/>
          </w:tblCellMar>
        </w:tblPrEx>
        <w:trPr>
          <w:trHeight w:val="56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8EB1B">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6</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44597">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辖区乡道、村道建设工作。</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30094">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工整改；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4.负责修复工程的施工、质量监督及验收工作。</w:t>
            </w:r>
          </w:p>
        </w:tc>
      </w:tr>
      <w:tr w14:paraId="3B59D86B">
        <w:tblPrEx>
          <w:tblCellMar>
            <w:top w:w="0" w:type="dxa"/>
            <w:left w:w="0" w:type="dxa"/>
            <w:bottom w:w="0" w:type="dxa"/>
            <w:right w:w="0" w:type="dxa"/>
          </w:tblCellMar>
        </w:tblPrEx>
        <w:trPr>
          <w:trHeight w:val="186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6C69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7</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C774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开展宅基地使用权及房屋所有权登记。</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A507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1.明确申请条件与主体；</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2.提供申请材料清单；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3.规范办理流程；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4.优化服务方式；</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5.加强监管与指导。</w:t>
            </w:r>
          </w:p>
        </w:tc>
      </w:tr>
      <w:tr w14:paraId="04010D71">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063E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28</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DB01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*对未在城市道路施工现场设置明显标志和安全防围设施的处罚。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48BD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748E243">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25B0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29</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E53D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*对依附于城市道路建设各种管线、杆线等设施，不按照规定办理批准手续的处罚。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C636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0D08B10">
        <w:tblPrEx>
          <w:tblCellMar>
            <w:top w:w="0" w:type="dxa"/>
            <w:left w:w="0" w:type="dxa"/>
            <w:bottom w:w="0" w:type="dxa"/>
            <w:right w:w="0" w:type="dxa"/>
          </w:tblCellMar>
        </w:tblPrEx>
        <w:trPr>
          <w:trHeight w:val="150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2A3F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0</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4B45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*对在城市建筑物、设施以及树木上涂写、刻画或者未经批准张挂、张贴宣传品等的处罚。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8135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p>
        </w:tc>
      </w:tr>
      <w:tr w14:paraId="60885BE2">
        <w:tblPrEx>
          <w:tblCellMar>
            <w:top w:w="0" w:type="dxa"/>
            <w:left w:w="0" w:type="dxa"/>
            <w:bottom w:w="0" w:type="dxa"/>
            <w:right w:w="0" w:type="dxa"/>
          </w:tblCellMar>
        </w:tblPrEx>
        <w:trPr>
          <w:trHeight w:val="145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7D982">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0</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38DC5">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*对在城市建筑物、设施以及树木上涂写、刻画或者未经批准张挂、张贴宣传品等的处罚。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B10D5">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63CB224">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EA2F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1</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A8BC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*对建设单位、物业服务企业不移交有关物业管理资料的处罚。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927F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621A734">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E8E8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2</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0AAB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*对物业服务企业将一个物业管理区域内的全部物业管理一并委托给他人的处罚。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37BB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1128D006">
        <w:tblPrEx>
          <w:tblCellMar>
            <w:top w:w="0" w:type="dxa"/>
            <w:left w:w="0" w:type="dxa"/>
            <w:bottom w:w="0" w:type="dxa"/>
            <w:right w:w="0" w:type="dxa"/>
          </w:tblCellMar>
        </w:tblPrEx>
        <w:trPr>
          <w:trHeight w:val="22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A14C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3</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42DA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*对未经业主大会同意，物业服务企业擅自改变物业管理用房的用途的处罚。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481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F992FAA">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2CA5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4</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A1E1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*对擅自改变物业管理区域内按照规划建设的公共建筑和共用设施用途的处罚。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1DB5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651FF0D7">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0446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5</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8640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*对擅自占用、挖掘物业管理区域内道路、场地，损害业主共同利益的处罚。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A5CD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EE90B87">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0FC7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6</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9374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*对擅自利用物业共用部位、共用设施设备进行经营的处罚。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AB5B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68D27760">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5B0F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7</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CF0E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*对占用城市道路期满或者挖掘城市道路后，不及时清理现场的处罚。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D351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5FC48B65">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105E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8</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BED1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*对紧急抢修埋设在城市道路下的管线，不按照规定补办批准手续的处罚。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65F7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2BB9A63">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A037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39</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89EB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*未对设在城市道路上的各种管线的检查井、箱盖或者城市道路附属设施的缺损及时补缺或者修复的处罚。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2529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AFB3AC9">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7BEF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40</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9F59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*对未按照批准的位置、面积、期限占用或者挖掘城市道路，或者需要移动位置、扩大面积、延长时间的，未提前办理变更审批手续的处罚。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2264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5C6A7BAC">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48E4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1</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24B5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*对在城市人民政府规定的街道的临街建筑物的阳台和窗外，堆放、吊挂有碍市容的物品的处罚。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9DA9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2BF5769">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F9C9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42</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A64A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*对临街工地不设置护栏或者不作遮挡、停工场地不及时整理并作必要覆盖或者竣工后不及时清理和平整场地，影响市容和环境卫生的处罚。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5FF8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60E92C7F">
        <w:tblPrEx>
          <w:tblCellMar>
            <w:top w:w="0" w:type="dxa"/>
            <w:left w:w="0" w:type="dxa"/>
            <w:bottom w:w="0" w:type="dxa"/>
            <w:right w:w="0" w:type="dxa"/>
          </w:tblCellMar>
        </w:tblPrEx>
        <w:trPr>
          <w:trHeight w:val="2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902B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3</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5A6A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*对擅自设置大型户外广告标牌设施，影响市容的处罚。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364B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52DA9DF9">
        <w:tblPrEx>
          <w:tblCellMar>
            <w:top w:w="0" w:type="dxa"/>
            <w:left w:w="0" w:type="dxa"/>
            <w:bottom w:w="0" w:type="dxa"/>
            <w:right w:w="0" w:type="dxa"/>
          </w:tblCellMar>
        </w:tblPrEx>
        <w:trPr>
          <w:trHeight w:val="29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962A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4</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96FD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*对擅自在街道两侧和公共场地堆放物料，搭建建筑物、构筑物或者其他设施，影响市容的处罚。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4DFB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628E629A">
        <w:tblPrEx>
          <w:tblCellMar>
            <w:top w:w="0" w:type="dxa"/>
            <w:left w:w="0" w:type="dxa"/>
            <w:bottom w:w="0" w:type="dxa"/>
            <w:right w:w="0" w:type="dxa"/>
          </w:tblCellMar>
        </w:tblPrEx>
        <w:trPr>
          <w:trHeight w:val="28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EEA0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5</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24EC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*对擅自停止使用取退水计量设施的处罚。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FDB3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51659417">
        <w:tblPrEx>
          <w:tblCellMar>
            <w:top w:w="0" w:type="dxa"/>
            <w:left w:w="0" w:type="dxa"/>
            <w:bottom w:w="0" w:type="dxa"/>
            <w:right w:w="0" w:type="dxa"/>
          </w:tblCellMar>
        </w:tblPrEx>
        <w:trPr>
          <w:trHeight w:val="405"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7EB9C">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28"/>
                <w:szCs w:val="28"/>
                <w:u w:val="none"/>
                <w:lang w:val="en-US" w:eastAsia="zh-CN" w:bidi="ar"/>
              </w:rPr>
              <w:t>五、生态环保（19项）</w:t>
            </w:r>
          </w:p>
        </w:tc>
      </w:tr>
      <w:tr w14:paraId="25F5FCD9">
        <w:tblPrEx>
          <w:tblCellMar>
            <w:top w:w="0" w:type="dxa"/>
            <w:left w:w="0" w:type="dxa"/>
            <w:bottom w:w="0" w:type="dxa"/>
            <w:right w:w="0" w:type="dxa"/>
          </w:tblCellMar>
        </w:tblPrEx>
        <w:trPr>
          <w:trHeight w:val="9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7AB6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6</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ABEA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土地卫片疑似违法违规图斑的核查。</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EDAB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1.接收上级下发的图斑数据；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2.开展外业核查及内业填报工作。</w:t>
            </w:r>
          </w:p>
        </w:tc>
      </w:tr>
      <w:tr w14:paraId="121C632F">
        <w:tblPrEx>
          <w:tblCellMar>
            <w:top w:w="0" w:type="dxa"/>
            <w:left w:w="0" w:type="dxa"/>
            <w:bottom w:w="0" w:type="dxa"/>
            <w:right w:w="0" w:type="dxa"/>
          </w:tblCellMar>
        </w:tblPrEx>
        <w:trPr>
          <w:trHeight w:val="3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391C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7</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A221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对禁牧区违规搭建圈舍的拆除。</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6E74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1.通过日常巡查、群众举报、卫星遥感监测等多种方式，发现在禁牧区违规搭建圈舍问题；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2.对违规搭建圈舍的情况进行调查取证，包括现场勘察、拍照、测量、询问当事人等，获取圈舍的位置、面积、结构、建造时间、用途以及当事人的基本信息等证据，并制作相关笔录和勘察报告；</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3.依据《中华人民共和国草原法》《内蒙古自治区草畜平衡和禁牧休牧条例》《内蒙古自治区基本草原保护条例》等相关法律法规，对所调查的圈舍是否属于违法建筑进行认定；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4.经认定为违法建筑后，出具《责令限期拆除违法建筑决定书》，明确告知当事人违法行为，要求其在规定的期限内自行拆除；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5.将《责令限期拆除决定书》依法送达当事人，并由接收人签字确认；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6.逾期未拆除的，作出强制拆除决定，并进行强制拆除；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7.拆除完成后，对拆除现场进行清理和检查，防止出现安全隐患；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8.加强对禁牧区的后续监管，防止类似的违规搭建行为再次发生。</w:t>
            </w:r>
          </w:p>
        </w:tc>
      </w:tr>
      <w:tr w14:paraId="499BD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0" w:hRule="atLeast"/>
        </w:trPr>
        <w:tc>
          <w:tcPr>
            <w:tcW w:w="294" w:type="pct"/>
            <w:tcBorders>
              <w:top w:val="single" w:color="000000" w:sz="4" w:space="0"/>
              <w:left w:val="single" w:color="000000" w:sz="4" w:space="0"/>
              <w:bottom w:val="single" w:color="000000" w:sz="4" w:space="0"/>
              <w:right w:val="single" w:color="000000" w:sz="4" w:space="0"/>
              <w:tl2br w:val="nil"/>
              <w:tr2bl w:val="nil"/>
            </w:tcBorders>
            <w:shd w:val="clear" w:color="auto" w:fill="auto"/>
            <w:noWrap w:val="0"/>
            <w:tcMar>
              <w:top w:w="15" w:type="dxa"/>
              <w:left w:w="15" w:type="dxa"/>
              <w:right w:w="15" w:type="dxa"/>
            </w:tcMar>
            <w:vAlign w:val="center"/>
          </w:tcPr>
          <w:p w14:paraId="3C08AA24">
            <w:pPr>
              <w:widowControl/>
              <w:spacing w:beforeLines="0" w:afterLines="0"/>
              <w:jc w:val="center"/>
              <w:textAlignment w:val="center"/>
              <w:rPr>
                <w:rFonts w:hint="eastAsia" w:ascii="Times New Roman" w:hAnsi="Times New Roman" w:eastAsiaTheme="minorEastAsia"/>
                <w:color w:val="000000"/>
                <w:sz w:val="24"/>
                <w:lang w:val="en-US" w:eastAsia="zh-CN"/>
              </w:rPr>
            </w:pPr>
            <w:r>
              <w:rPr>
                <w:rFonts w:hint="default" w:ascii="Times New Roman" w:hAnsi="Times New Roman"/>
                <w:color w:val="000000"/>
                <w:kern w:val="0"/>
                <w:sz w:val="24"/>
              </w:rPr>
              <w:t>4</w:t>
            </w:r>
            <w:r>
              <w:rPr>
                <w:rFonts w:hint="eastAsia" w:ascii="Times New Roman" w:hAnsi="Times New Roman"/>
                <w:color w:val="000000"/>
                <w:kern w:val="0"/>
                <w:sz w:val="24"/>
                <w:lang w:val="en-US" w:eastAsia="zh-CN"/>
              </w:rPr>
              <w:t>8</w:t>
            </w:r>
          </w:p>
        </w:tc>
        <w:tc>
          <w:tcPr>
            <w:tcW w:w="822" w:type="pct"/>
            <w:tcBorders>
              <w:top w:val="single" w:color="000000" w:sz="4" w:space="0"/>
              <w:left w:val="single" w:color="000000" w:sz="4" w:space="0"/>
              <w:bottom w:val="single" w:color="000000" w:sz="4" w:space="0"/>
              <w:right w:val="single" w:color="000000" w:sz="4" w:space="0"/>
              <w:tl2br w:val="nil"/>
              <w:tr2bl w:val="nil"/>
            </w:tcBorders>
            <w:shd w:val="clear" w:color="auto" w:fill="auto"/>
            <w:noWrap w:val="0"/>
            <w:tcMar>
              <w:top w:w="15" w:type="dxa"/>
              <w:left w:w="15" w:type="dxa"/>
              <w:right w:w="15" w:type="dxa"/>
            </w:tcMar>
            <w:vAlign w:val="center"/>
          </w:tcPr>
          <w:p w14:paraId="175BD1AC">
            <w:pPr>
              <w:widowControl/>
              <w:spacing w:beforeLines="0" w:afterLines="0"/>
              <w:textAlignment w:val="center"/>
              <w:rPr>
                <w:rFonts w:hint="eastAsia" w:ascii="仿宋_GB2312" w:hAnsi="宋体" w:eastAsia="仿宋_GB2312"/>
                <w:color w:val="000000"/>
                <w:sz w:val="24"/>
              </w:rPr>
            </w:pPr>
            <w:r>
              <w:rPr>
                <w:rFonts w:hint="eastAsia" w:ascii="仿宋_GB2312" w:hAnsi="宋体" w:eastAsia="仿宋_GB2312" w:cs="仿宋_GB2312"/>
                <w:i w:val="0"/>
                <w:color w:val="000000"/>
                <w:kern w:val="0"/>
                <w:sz w:val="24"/>
                <w:szCs w:val="24"/>
                <w:u w:val="none"/>
                <w:lang w:val="en-US" w:eastAsia="zh-CN" w:bidi="ar"/>
              </w:rPr>
              <w:t>*</w:t>
            </w:r>
            <w:r>
              <w:rPr>
                <w:rFonts w:hint="eastAsia" w:ascii="仿宋_GB2312" w:hAnsi="宋体" w:eastAsia="仿宋_GB2312"/>
                <w:color w:val="000000"/>
                <w:kern w:val="0"/>
                <w:sz w:val="24"/>
              </w:rPr>
              <w:t>责令农村村民退还未经批准或者采取欺骗手段骗取批准，非法占用土地建住宅的土地，并责令拆除非法占用土地上新建的房屋。</w:t>
            </w:r>
          </w:p>
        </w:tc>
        <w:tc>
          <w:tcPr>
            <w:tcW w:w="3883" w:type="pct"/>
            <w:tcBorders>
              <w:top w:val="single" w:color="000000" w:sz="4" w:space="0"/>
              <w:left w:val="single" w:color="000000" w:sz="4" w:space="0"/>
              <w:bottom w:val="single" w:color="000000" w:sz="4" w:space="0"/>
              <w:right w:val="single" w:color="000000" w:sz="4" w:space="0"/>
              <w:tl2br w:val="nil"/>
              <w:tr2bl w:val="nil"/>
            </w:tcBorders>
            <w:shd w:val="clear" w:color="auto" w:fill="auto"/>
            <w:noWrap w:val="0"/>
            <w:tcMar>
              <w:top w:w="15" w:type="dxa"/>
              <w:left w:w="15" w:type="dxa"/>
              <w:right w:w="15" w:type="dxa"/>
            </w:tcMar>
            <w:vAlign w:val="center"/>
          </w:tcPr>
          <w:p w14:paraId="77B90B6F">
            <w:pPr>
              <w:widowControl/>
              <w:spacing w:beforeLines="0" w:afterLines="0"/>
              <w:textAlignment w:val="center"/>
              <w:rPr>
                <w:rFonts w:hint="eastAsia" w:ascii="仿宋_GB2312" w:hAnsi="宋体" w:eastAsia="仿宋_GB2312"/>
                <w:color w:val="000000"/>
                <w:sz w:val="24"/>
              </w:rPr>
            </w:pPr>
            <w:r>
              <w:rPr>
                <w:rFonts w:hint="eastAsia" w:ascii="仿宋_GB2312" w:hAnsi="宋体" w:eastAsia="仿宋_GB2312"/>
                <w:color w:val="000000"/>
                <w:kern w:val="0"/>
                <w:sz w:val="24"/>
              </w:rPr>
              <w:t>旗农牧和水利局</w:t>
            </w:r>
            <w:r>
              <w:rPr>
                <w:rFonts w:hint="eastAsia" w:ascii="仿宋_GB2312" w:hAnsi="宋体" w:eastAsia="仿宋_GB2312"/>
                <w:color w:val="000000"/>
                <w:kern w:val="0"/>
                <w:sz w:val="24"/>
              </w:rPr>
              <w:br w:type="textWrapping"/>
            </w:r>
            <w:r>
              <w:rPr>
                <w:rFonts w:hint="eastAsia" w:ascii="仿宋_GB2312" w:hAnsi="宋体" w:eastAsia="仿宋_GB2312"/>
                <w:color w:val="000000"/>
                <w:kern w:val="0"/>
                <w:sz w:val="24"/>
              </w:rPr>
              <w:t>1.立案；</w:t>
            </w:r>
            <w:r>
              <w:rPr>
                <w:rFonts w:hint="eastAsia" w:ascii="仿宋_GB2312" w:hAnsi="宋体" w:eastAsia="仿宋_GB2312"/>
                <w:color w:val="000000"/>
                <w:kern w:val="0"/>
                <w:sz w:val="24"/>
              </w:rPr>
              <w:br w:type="textWrapping"/>
            </w:r>
            <w:r>
              <w:rPr>
                <w:rFonts w:hint="eastAsia" w:ascii="仿宋_GB2312" w:hAnsi="宋体" w:eastAsia="仿宋_GB2312"/>
                <w:color w:val="000000"/>
                <w:kern w:val="0"/>
                <w:sz w:val="24"/>
              </w:rPr>
              <w:t>2.调查取证；</w:t>
            </w:r>
            <w:r>
              <w:rPr>
                <w:rFonts w:hint="eastAsia" w:ascii="仿宋_GB2312" w:hAnsi="宋体" w:eastAsia="仿宋_GB2312"/>
                <w:color w:val="000000"/>
                <w:kern w:val="0"/>
                <w:sz w:val="24"/>
              </w:rPr>
              <w:br w:type="textWrapping"/>
            </w:r>
            <w:r>
              <w:rPr>
                <w:rFonts w:hint="eastAsia" w:ascii="仿宋_GB2312" w:hAnsi="宋体" w:eastAsia="仿宋_GB2312"/>
                <w:color w:val="000000"/>
                <w:kern w:val="0"/>
                <w:sz w:val="24"/>
              </w:rPr>
              <w:t>3.案情分析与调查报告起草；</w:t>
            </w:r>
            <w:r>
              <w:rPr>
                <w:rFonts w:hint="eastAsia" w:ascii="仿宋_GB2312" w:hAnsi="宋体" w:eastAsia="仿宋_GB2312"/>
                <w:color w:val="000000"/>
                <w:kern w:val="0"/>
                <w:sz w:val="24"/>
              </w:rPr>
              <w:br w:type="textWrapping"/>
            </w:r>
            <w:r>
              <w:rPr>
                <w:rFonts w:hint="eastAsia" w:ascii="仿宋_GB2312" w:hAnsi="宋体" w:eastAsia="仿宋_GB2312"/>
                <w:color w:val="000000"/>
                <w:kern w:val="0"/>
                <w:sz w:val="24"/>
              </w:rPr>
              <w:t>4.案件审理；</w:t>
            </w:r>
            <w:r>
              <w:rPr>
                <w:rFonts w:hint="eastAsia" w:ascii="仿宋_GB2312" w:hAnsi="宋体" w:eastAsia="仿宋_GB2312"/>
                <w:color w:val="000000"/>
                <w:kern w:val="0"/>
                <w:sz w:val="24"/>
              </w:rPr>
              <w:br w:type="textWrapping"/>
            </w:r>
            <w:r>
              <w:rPr>
                <w:rFonts w:hint="eastAsia" w:ascii="仿宋_GB2312" w:hAnsi="宋体" w:eastAsia="仿宋_GB2312"/>
                <w:color w:val="000000"/>
                <w:kern w:val="0"/>
                <w:sz w:val="24"/>
              </w:rPr>
              <w:t>5.重大执法决定法制审核；</w:t>
            </w:r>
            <w:r>
              <w:rPr>
                <w:rFonts w:hint="eastAsia" w:ascii="仿宋_GB2312" w:hAnsi="宋体" w:eastAsia="仿宋_GB2312"/>
                <w:color w:val="000000"/>
                <w:kern w:val="0"/>
                <w:sz w:val="24"/>
              </w:rPr>
              <w:br w:type="textWrapping"/>
            </w:r>
            <w:r>
              <w:rPr>
                <w:rFonts w:hint="eastAsia" w:ascii="仿宋_GB2312" w:hAnsi="宋体" w:eastAsia="仿宋_GB2312"/>
                <w:color w:val="000000"/>
                <w:kern w:val="0"/>
                <w:sz w:val="24"/>
              </w:rPr>
              <w:t>6.作出处理决定；</w:t>
            </w:r>
            <w:r>
              <w:rPr>
                <w:rFonts w:hint="eastAsia" w:ascii="仿宋_GB2312" w:hAnsi="宋体" w:eastAsia="仿宋_GB2312"/>
                <w:color w:val="000000"/>
                <w:kern w:val="0"/>
                <w:sz w:val="24"/>
              </w:rPr>
              <w:br w:type="textWrapping"/>
            </w:r>
            <w:r>
              <w:rPr>
                <w:rFonts w:hint="eastAsia" w:ascii="仿宋_GB2312" w:hAnsi="宋体" w:eastAsia="仿宋_GB2312"/>
                <w:color w:val="000000"/>
                <w:kern w:val="0"/>
                <w:sz w:val="24"/>
              </w:rPr>
              <w:t>7.执行；</w:t>
            </w:r>
            <w:r>
              <w:rPr>
                <w:rFonts w:hint="eastAsia" w:ascii="仿宋_GB2312" w:hAnsi="宋体" w:eastAsia="仿宋_GB2312"/>
                <w:color w:val="000000"/>
                <w:kern w:val="0"/>
                <w:sz w:val="24"/>
              </w:rPr>
              <w:br w:type="textWrapping"/>
            </w:r>
            <w:r>
              <w:rPr>
                <w:rFonts w:hint="eastAsia" w:ascii="仿宋_GB2312" w:hAnsi="宋体" w:eastAsia="仿宋_GB2312"/>
                <w:color w:val="000000"/>
                <w:kern w:val="0"/>
                <w:sz w:val="24"/>
              </w:rPr>
              <w:t>8.结案；</w:t>
            </w:r>
            <w:r>
              <w:rPr>
                <w:rFonts w:hint="eastAsia" w:ascii="仿宋_GB2312" w:hAnsi="宋体" w:eastAsia="仿宋_GB2312"/>
                <w:color w:val="000000"/>
                <w:kern w:val="0"/>
                <w:sz w:val="24"/>
              </w:rPr>
              <w:br w:type="textWrapping"/>
            </w:r>
            <w:r>
              <w:rPr>
                <w:rFonts w:hint="eastAsia" w:ascii="仿宋_GB2312" w:hAnsi="宋体" w:eastAsia="仿宋_GB2312"/>
                <w:color w:val="000000"/>
                <w:kern w:val="0"/>
                <w:sz w:val="24"/>
              </w:rPr>
              <w:t>9.立卷归档。</w:t>
            </w:r>
          </w:p>
        </w:tc>
      </w:tr>
      <w:tr w14:paraId="39E4C1FF">
        <w:tblPrEx>
          <w:tblCellMar>
            <w:top w:w="0" w:type="dxa"/>
            <w:left w:w="0" w:type="dxa"/>
            <w:bottom w:w="0" w:type="dxa"/>
            <w:right w:w="0" w:type="dxa"/>
          </w:tblCellMar>
        </w:tblPrEx>
        <w:trPr>
          <w:trHeight w:val="225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2E4D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49</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7EA5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*对擅自在草原上开展经营性旅游活动，破坏草原植被的处罚。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06B3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p>
        </w:tc>
      </w:tr>
      <w:tr w14:paraId="15AEC9E7">
        <w:tblPrEx>
          <w:tblCellMar>
            <w:top w:w="0" w:type="dxa"/>
            <w:left w:w="0" w:type="dxa"/>
            <w:bottom w:w="0" w:type="dxa"/>
            <w:right w:w="0" w:type="dxa"/>
          </w:tblCellMar>
        </w:tblPrEx>
        <w:trPr>
          <w:trHeight w:val="116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C1D7B">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49</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96350">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*对擅自在草原上开展经营性旅游活动，破坏草原植被的处罚。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1E8CD">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5719B51F">
        <w:tblPrEx>
          <w:tblCellMar>
            <w:top w:w="0" w:type="dxa"/>
            <w:left w:w="0" w:type="dxa"/>
            <w:bottom w:w="0" w:type="dxa"/>
            <w:right w:w="0" w:type="dxa"/>
          </w:tblCellMar>
        </w:tblPrEx>
        <w:trPr>
          <w:trHeight w:val="30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D9BE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0</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D499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*对买卖或者以其他形式非法转让草原的处罚。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BA2B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008B610">
        <w:tblPrEx>
          <w:tblCellMar>
            <w:top w:w="0" w:type="dxa"/>
            <w:left w:w="0" w:type="dxa"/>
            <w:bottom w:w="0" w:type="dxa"/>
            <w:right w:w="0" w:type="dxa"/>
          </w:tblCellMar>
        </w:tblPrEx>
        <w:trPr>
          <w:trHeight w:val="30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DBC4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1</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043A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*对机动车辆未经批准离开道路在草原上行驶或者未按照确认的行驶区域和行驶路线在草原上行驶，破坏草原植被的处罚。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82AD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275EE93">
        <w:tblPrEx>
          <w:tblCellMar>
            <w:top w:w="0" w:type="dxa"/>
            <w:left w:w="0" w:type="dxa"/>
            <w:bottom w:w="0" w:type="dxa"/>
            <w:right w:w="0" w:type="dxa"/>
          </w:tblCellMar>
        </w:tblPrEx>
        <w:trPr>
          <w:trHeight w:val="15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B270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2</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377D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*对草原围栏建设中因阻断道路对草原造成碾压破坏的处罚。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67B9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F2F9EE6">
        <w:tblPrEx>
          <w:tblCellMar>
            <w:top w:w="0" w:type="dxa"/>
            <w:left w:w="0" w:type="dxa"/>
            <w:bottom w:w="0" w:type="dxa"/>
            <w:right w:w="0" w:type="dxa"/>
          </w:tblCellMar>
        </w:tblPrEx>
        <w:trPr>
          <w:trHeight w:val="30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EF68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3</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A38B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*对围湖造地或者未经批准围垦河道的处罚。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B416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3B83598">
        <w:tblPrEx>
          <w:tblCellMar>
            <w:top w:w="0" w:type="dxa"/>
            <w:left w:w="0" w:type="dxa"/>
            <w:bottom w:w="0" w:type="dxa"/>
            <w:right w:w="0" w:type="dxa"/>
          </w:tblCellMar>
        </w:tblPrEx>
        <w:trPr>
          <w:trHeight w:val="39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478F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4</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94F6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*对在崩塌、滑坡危险区或者泥石流易发区从事取土、挖砂、采石等可能造成水土流失的活动的处罚。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6956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196ED14">
        <w:tblPrEx>
          <w:tblCellMar>
            <w:top w:w="0" w:type="dxa"/>
            <w:left w:w="0" w:type="dxa"/>
            <w:bottom w:w="0" w:type="dxa"/>
            <w:right w:w="0" w:type="dxa"/>
          </w:tblCellMar>
        </w:tblPrEx>
        <w:trPr>
          <w:trHeight w:val="30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6A47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5</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3D44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*对在江河、湖泊、水库、运河、渠道内弃置、堆放阻碍行洪的物体和种植阻碍行洪的林木及高秆作物的处罚。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96ED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0DB2DB9">
        <w:tblPrEx>
          <w:tblCellMar>
            <w:top w:w="0" w:type="dxa"/>
            <w:left w:w="0" w:type="dxa"/>
            <w:bottom w:w="0" w:type="dxa"/>
            <w:right w:w="0" w:type="dxa"/>
          </w:tblCellMar>
        </w:tblPrEx>
        <w:trPr>
          <w:trHeight w:val="30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BB5B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6</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8281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*对采集发菜，或者在水土流失重点预防区和重点治理区铲草皮、挖树兜、滥挖虫草、甘草、麻黄等的处罚。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434E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0383910">
        <w:tblPrEx>
          <w:tblCellMar>
            <w:top w:w="0" w:type="dxa"/>
            <w:left w:w="0" w:type="dxa"/>
            <w:bottom w:w="0" w:type="dxa"/>
            <w:right w:w="0" w:type="dxa"/>
          </w:tblCellMar>
        </w:tblPrEx>
        <w:trPr>
          <w:trHeight w:val="30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B38A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7</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76D5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*对开办生产建设项目或者从事其他生产建设活动造成水土流失不进行治理的处置。</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6B7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1DEF6A17">
        <w:tblPrEx>
          <w:tblCellMar>
            <w:top w:w="0" w:type="dxa"/>
            <w:left w:w="0" w:type="dxa"/>
            <w:bottom w:w="0" w:type="dxa"/>
            <w:right w:w="0" w:type="dxa"/>
          </w:tblCellMar>
        </w:tblPrEx>
        <w:trPr>
          <w:trHeight w:val="30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351D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8</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4409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*对在堤防安全保护区内进行打井、钻探、爆破、挖筑鱼塘、采石、取土等危害堤防安全的活动的处罚。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5E02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FC3B2D7">
        <w:tblPrEx>
          <w:tblCellMar>
            <w:top w:w="0" w:type="dxa"/>
            <w:left w:w="0" w:type="dxa"/>
            <w:bottom w:w="0" w:type="dxa"/>
            <w:right w:w="0" w:type="dxa"/>
          </w:tblCellMar>
        </w:tblPrEx>
        <w:trPr>
          <w:trHeight w:val="30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DC2D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59</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2519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*对河道、湖泊管理范围内建设妨碍行洪的建筑物、构筑物的处罚。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C816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E469DC9">
        <w:tblPrEx>
          <w:tblCellMar>
            <w:top w:w="0" w:type="dxa"/>
            <w:left w:w="0" w:type="dxa"/>
            <w:bottom w:w="0" w:type="dxa"/>
            <w:right w:w="0" w:type="dxa"/>
          </w:tblCellMar>
        </w:tblPrEx>
        <w:trPr>
          <w:trHeight w:val="361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EFAB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0</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89E3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*对在河道、湖泊管理范围内倾倒垃圾、渣土，从事影响河势稳定、危害河岸堤防安全和其他妨碍河道行洪的活动的处罚。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9B33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1A85E3C">
        <w:tblPrEx>
          <w:tblCellMar>
            <w:top w:w="0" w:type="dxa"/>
            <w:left w:w="0" w:type="dxa"/>
            <w:bottom w:w="0" w:type="dxa"/>
            <w:right w:w="0" w:type="dxa"/>
          </w:tblCellMar>
        </w:tblPrEx>
        <w:trPr>
          <w:trHeight w:val="341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4085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1</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29ED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*对在水土保持方案确定的专门存放地以外的区域倾倒砂、石、土、矸石、尾矿、废渣等的处罚。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542C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5B51B032">
        <w:tblPrEx>
          <w:tblCellMar>
            <w:top w:w="0" w:type="dxa"/>
            <w:left w:w="0" w:type="dxa"/>
            <w:bottom w:w="0" w:type="dxa"/>
            <w:right w:w="0" w:type="dxa"/>
          </w:tblCellMar>
        </w:tblPrEx>
        <w:trPr>
          <w:trHeight w:val="30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567E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2</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E32B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*对在禁止开垦坡度以上陡坡地开垦种植农作物，或者在禁止开垦，开发的植物保护带内开垦、开发的处罚。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2E45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E0746EF">
        <w:tblPrEx>
          <w:tblCellMar>
            <w:top w:w="0" w:type="dxa"/>
            <w:left w:w="0" w:type="dxa"/>
            <w:bottom w:w="0" w:type="dxa"/>
            <w:right w:w="0" w:type="dxa"/>
          </w:tblCellMar>
        </w:tblPrEx>
        <w:trPr>
          <w:trHeight w:val="30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1352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3</w:t>
            </w:r>
          </w:p>
        </w:tc>
        <w:tc>
          <w:tcPr>
            <w:tcW w:w="8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9CC6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*对在堤防、护堤地建房、放牧、开渠、打井、挖窖、葬坟、晒粮、存放物料、开采地下资源、进行考古发掘以及开展集市贸易活动的处罚。</w:t>
            </w:r>
          </w:p>
        </w:tc>
        <w:tc>
          <w:tcPr>
            <w:tcW w:w="38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1079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69B84B26">
        <w:tblPrEx>
          <w:tblCellMar>
            <w:top w:w="0" w:type="dxa"/>
            <w:left w:w="0" w:type="dxa"/>
            <w:bottom w:w="0" w:type="dxa"/>
            <w:right w:w="0" w:type="dxa"/>
          </w:tblCellMar>
        </w:tblPrEx>
        <w:trPr>
          <w:trHeight w:val="3000" w:hRule="atLeast"/>
        </w:trPr>
        <w:tc>
          <w:tcPr>
            <w:tcW w:w="294"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D9C14D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4</w:t>
            </w:r>
          </w:p>
        </w:tc>
        <w:tc>
          <w:tcPr>
            <w:tcW w:w="822"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958BA9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*对在河道管理范围内弃置、堆放阻碍行洪物体的；种植阻碍行洪的林木或者高杆植物的；修建围堤、阻水渠道、阻水道路的处罚。</w:t>
            </w:r>
          </w:p>
        </w:tc>
        <w:tc>
          <w:tcPr>
            <w:tcW w:w="3883"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B461EC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17F4DEC3">
        <w:tblPrEx>
          <w:tblCellMar>
            <w:top w:w="0" w:type="dxa"/>
            <w:left w:w="0" w:type="dxa"/>
            <w:bottom w:w="0" w:type="dxa"/>
            <w:right w:w="0" w:type="dxa"/>
          </w:tblCellMar>
        </w:tblPrEx>
        <w:trPr>
          <w:trHeight w:val="963"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51408">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注：1.根据清单工作整体部署将适时对清单内容进行修订。2.*标注事项为本镇所承担的执法事项。</w:t>
            </w:r>
          </w:p>
        </w:tc>
      </w:tr>
    </w:tbl>
    <w:p w14:paraId="7A1430D7"/>
    <w:sectPr>
      <w:pgSz w:w="16838" w:h="11906" w:orient="landscape"/>
      <w:pgMar w:top="720" w:right="720" w:bottom="720" w:left="720" w:header="851" w:footer="39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61123B0"/>
    <w:rsid w:val="136239FE"/>
    <w:rsid w:val="221A2702"/>
    <w:rsid w:val="2C68690F"/>
    <w:rsid w:val="2EFE6857"/>
    <w:rsid w:val="30905A1B"/>
    <w:rsid w:val="6EAE4106"/>
    <w:rsid w:val="FFFD9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8552</Words>
  <Characters>9038</Characters>
  <Lines>0</Lines>
  <Paragraphs>0</Paragraphs>
  <TotalTime>0</TotalTime>
  <ScaleCrop>false</ScaleCrop>
  <LinksUpToDate>false</LinksUpToDate>
  <CharactersWithSpaces>9038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2025-08-25T17:49:00Z</dcterms:created>
  <dc:creator>Administrator</dc:creator>
  <cp:lastModifiedBy>馨琪若</cp:lastModifiedBy>
  <dcterms:modified xsi:type="dcterms:W3CDTF">2025-08-29T11:23:39Z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2849EC6B6323A538E661B1685E7E26A8_42</vt:lpwstr>
  </property>
  <property fmtid="{D5CDD505-2E9C-101B-9397-08002B2CF9AE}" pid="4" name="KSOTemplateDocerSaveRecord">
    <vt:lpwstr>eyJoZGlkIjoiNWU1Zjc0MWM0N2FlNTZiZTc0ODU3MTNmZDExYWY3MWUiLCJ1c2VySWQiOiI2Njc0MjUzNjkifQ==</vt:lpwstr>
  </property>
</Properties>
</file>