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462" w:type="dxa"/>
        <w:tblInd w:w="0" w:type="dxa"/>
        <w:shd w:val="clear" w:color="auto" w:fill="auto"/>
        <w:tblLayout w:type="fixed"/>
        <w:tblCellMar>
          <w:top w:w="0" w:type="dxa"/>
          <w:left w:w="0" w:type="dxa"/>
          <w:bottom w:w="0" w:type="dxa"/>
          <w:right w:w="0" w:type="dxa"/>
        </w:tblCellMar>
      </w:tblPr>
      <w:tblGrid>
        <w:gridCol w:w="992"/>
        <w:gridCol w:w="13470"/>
      </w:tblGrid>
      <w:tr>
        <w:tblPrEx>
          <w:shd w:val="clear" w:color="auto" w:fill="auto"/>
          <w:tblCellMar>
            <w:top w:w="0" w:type="dxa"/>
            <w:left w:w="0" w:type="dxa"/>
            <w:bottom w:w="0" w:type="dxa"/>
            <w:right w:w="0" w:type="dxa"/>
          </w:tblCellMar>
        </w:tblPrEx>
        <w:trPr>
          <w:trHeight w:val="380" w:hRule="atLeast"/>
        </w:trPr>
        <w:tc>
          <w:tcPr>
            <w:tcW w:w="99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附件1</w:t>
            </w:r>
          </w:p>
        </w:tc>
        <w:tc>
          <w:tcPr>
            <w:tcW w:w="13470" w:type="dxa"/>
            <w:tcBorders>
              <w:top w:val="nil"/>
              <w:left w:val="nil"/>
              <w:bottom w:val="nil"/>
              <w:right w:val="nil"/>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70" w:hRule="atLeast"/>
        </w:trPr>
        <w:tc>
          <w:tcPr>
            <w:tcW w:w="14462" w:type="dxa"/>
            <w:gridSpan w:val="2"/>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4"/>
                <w:szCs w:val="44"/>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鄂托克前旗城川镇基本履职事项清单</w:t>
            </w:r>
          </w:p>
        </w:tc>
      </w:tr>
      <w:tr>
        <w:tblPrEx>
          <w:tblCellMar>
            <w:top w:w="0" w:type="dxa"/>
            <w:left w:w="0" w:type="dxa"/>
            <w:bottom w:w="0" w:type="dxa"/>
            <w:right w:w="0" w:type="dxa"/>
          </w:tblCellMar>
        </w:tblPrEx>
        <w:trPr>
          <w:trHeight w:val="54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事项名称</w:t>
            </w:r>
          </w:p>
        </w:tc>
      </w:tr>
      <w:tr>
        <w:tblPrEx>
          <w:tblCellMar>
            <w:top w:w="0" w:type="dxa"/>
            <w:left w:w="0" w:type="dxa"/>
            <w:bottom w:w="0" w:type="dxa"/>
            <w:right w:w="0" w:type="dxa"/>
          </w:tblCellMar>
        </w:tblPrEx>
        <w:trPr>
          <w:trHeight w:val="580"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Style w:val="6"/>
                <w:lang w:val="en-US" w:eastAsia="zh-CN" w:bidi="ar"/>
              </w:rPr>
              <w:t>一、党的建设（</w:t>
            </w:r>
            <w:r>
              <w:rPr>
                <w:rStyle w:val="7"/>
                <w:rFonts w:hint="eastAsia"/>
                <w:lang w:val="en-US" w:eastAsia="zh-CN" w:bidi="ar"/>
              </w:rPr>
              <w:t>25</w:t>
            </w:r>
            <w:r>
              <w:rPr>
                <w:rStyle w:val="6"/>
                <w:lang w:val="en-US" w:eastAsia="zh-CN" w:bidi="ar"/>
              </w:rPr>
              <w:t>项）</w:t>
            </w:r>
          </w:p>
        </w:tc>
      </w:tr>
      <w:tr>
        <w:tblPrEx>
          <w:tblCellMar>
            <w:top w:w="0" w:type="dxa"/>
            <w:left w:w="0" w:type="dxa"/>
            <w:bottom w:w="0" w:type="dxa"/>
            <w:right w:w="0" w:type="dxa"/>
          </w:tblCellMar>
        </w:tblPrEx>
        <w:trPr>
          <w:trHeight w:val="92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学习贯彻习近平新时代中国特色社会主义思想，认真贯彻习近平总书记对内蒙古的重要指示精神，贯彻落实党中央决策部署，宣传和执行党的路线方针政策，宣传和执行上级党组织和本级党组织的决议，按照党中央部署开展党内集中教育，加强政治建设，深刻领悟“两个确立”的决定性意义，增强“四个意识”，坚定“四个自信”，做到“两个维护”。</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全面贯彻铸牢中华民族共同体意识工作主线，将铸牢中华民族共同体意识贯穿各项工作全过程、各方面。</w:t>
            </w:r>
          </w:p>
        </w:tc>
      </w:tr>
      <w:tr>
        <w:tblPrEx>
          <w:tblCellMar>
            <w:top w:w="0" w:type="dxa"/>
            <w:left w:w="0" w:type="dxa"/>
            <w:bottom w:w="0" w:type="dxa"/>
            <w:right w:w="0" w:type="dxa"/>
          </w:tblCellMar>
        </w:tblPrEx>
        <w:trPr>
          <w:trHeight w:val="78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常态化开展“感党恩、听党话、跟党走”群众教育，讲清楚“六句话的事实和道理”，算好“炕头账”，办好民生实事，开展惠民政策宣讲。</w:t>
            </w:r>
          </w:p>
        </w:tc>
      </w:tr>
      <w:tr>
        <w:tblPrEx>
          <w:tblCellMar>
            <w:top w:w="0" w:type="dxa"/>
            <w:left w:w="0" w:type="dxa"/>
            <w:bottom w:w="0" w:type="dxa"/>
            <w:right w:w="0" w:type="dxa"/>
          </w:tblCellMar>
        </w:tblPrEx>
        <w:trPr>
          <w:trHeight w:val="855"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镇党委自身建设，贯彻民主集中制原则，建立健全并执行“三重一大”事项集体决策机制，落实全面从严治党主体责任，讨论和决定本镇经济建设、政治建设、文化建设、社会建设、生态文明建设和党的建设以及乡村振兴中的重大问题，落实党内政治生活、党务公开、理论学习中心组学习等制度，做好领导干部包村联户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依权限组织实施镇党委、纪委换届选举工作；落实党代会代表任期制；做好党代表的推选和联络服务工作。</w:t>
            </w:r>
          </w:p>
        </w:tc>
      </w:tr>
      <w:tr>
        <w:tblPrEx>
          <w:tblCellMar>
            <w:top w:w="0" w:type="dxa"/>
            <w:left w:w="0" w:type="dxa"/>
            <w:bottom w:w="0" w:type="dxa"/>
            <w:right w:w="0" w:type="dxa"/>
          </w:tblCellMar>
        </w:tblPrEx>
        <w:trPr>
          <w:trHeight w:val="68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负责所属党组织的成立、撤销、调整工作；监督指导所属党组织换届选举和补选工作；监督指导所属党组织执行“三会一课”、组织生活会、民主评议党员等组织生活制度，着力提升党组织建设水平。</w:t>
            </w:r>
          </w:p>
        </w:tc>
      </w:tr>
      <w:tr>
        <w:tblPrEx>
          <w:tblCellMar>
            <w:top w:w="0" w:type="dxa"/>
            <w:left w:w="0" w:type="dxa"/>
            <w:bottom w:w="0" w:type="dxa"/>
            <w:right w:w="0" w:type="dxa"/>
          </w:tblCellMar>
        </w:tblPrEx>
        <w:trPr>
          <w:trHeight w:val="66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深入实施党建引领基层治理，推广应用鄂尔多斯市党建引领基层治理“根数据库”，依权限动态维护数据信息，加强党建引领网格化管理。</w:t>
            </w:r>
          </w:p>
        </w:tc>
      </w:tr>
      <w:tr>
        <w:tblPrEx>
          <w:tblCellMar>
            <w:top w:w="0" w:type="dxa"/>
            <w:left w:w="0" w:type="dxa"/>
            <w:bottom w:w="0" w:type="dxa"/>
            <w:right w:w="0" w:type="dxa"/>
          </w:tblCellMar>
        </w:tblPrEx>
        <w:trPr>
          <w:trHeight w:val="837"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党员的发展、教育、管理、监督和服务，加强对流动党员的管理，做好党员档案管理；规范党费收缴、使用、管理；指导所属党组织做好党员承诺践诺和联系服务群众工作；开展党内关怀工作；开展党内评优评先和推荐上报工作；依规处置不合格党员。</w:t>
            </w:r>
          </w:p>
        </w:tc>
      </w:tr>
      <w:tr>
        <w:tblPrEx>
          <w:tblCellMar>
            <w:top w:w="0" w:type="dxa"/>
            <w:left w:w="0" w:type="dxa"/>
            <w:bottom w:w="0" w:type="dxa"/>
            <w:right w:w="0" w:type="dxa"/>
          </w:tblCellMar>
        </w:tblPrEx>
        <w:trPr>
          <w:trHeight w:val="76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嘎查村（社区）干部的教育、培养、考核、奖励、监督管理和评先评优推荐工作；负责嘎查村“两委”、监委会成员、离任村干部补贴和社区工作者工资的发放工作；加强嘎查村（社区）优秀年轻干部队伍建设。</w:t>
            </w:r>
          </w:p>
        </w:tc>
      </w:tr>
      <w:tr>
        <w:tblPrEx>
          <w:tblCellMar>
            <w:top w:w="0" w:type="dxa"/>
            <w:left w:w="0" w:type="dxa"/>
            <w:bottom w:w="0" w:type="dxa"/>
            <w:right w:w="0" w:type="dxa"/>
          </w:tblCellMar>
        </w:tblPrEx>
        <w:trPr>
          <w:trHeight w:val="64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按照干部管理权限，负责干部招录计划的申报以及干部的教育、培育、选拔、考核、管理、监督工作，做好离退休干部服务管理，开展评优评先和推荐上报工作。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按照权限加强对部门派驻机构及人员的管理。</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坚持党管人才，做好人才工作的政策宣传，负责镇村两级人才工作站的建设运行及人才引进培育和服务保障工作。</w:t>
            </w:r>
          </w:p>
        </w:tc>
      </w:tr>
      <w:tr>
        <w:tblPrEx>
          <w:tblCellMar>
            <w:top w:w="0" w:type="dxa"/>
            <w:left w:w="0" w:type="dxa"/>
            <w:bottom w:w="0" w:type="dxa"/>
            <w:right w:w="0" w:type="dxa"/>
          </w:tblCellMar>
        </w:tblPrEx>
        <w:trPr>
          <w:trHeight w:val="76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负责混合所有制企业、非公有制企业、新经济组织、新社会组织、新就业群体等“两企三新”党组织的成立、调整、撤销和管理，加强“两企三新”党建工作。</w:t>
            </w:r>
          </w:p>
        </w:tc>
      </w:tr>
      <w:tr>
        <w:tblPrEx>
          <w:tblCellMar>
            <w:top w:w="0" w:type="dxa"/>
            <w:left w:w="0" w:type="dxa"/>
            <w:bottom w:w="0" w:type="dxa"/>
            <w:right w:w="0" w:type="dxa"/>
          </w:tblCellMar>
        </w:tblPrEx>
        <w:trPr>
          <w:trHeight w:val="10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深化精神文明建设，做好社会主义核心价值观宣传教育，开展爱国主义教育、国防教育宣传工作；倡导移风易俗，抵制铺张浪费；负责嘎查村村规民约和社区居民公约审核备案；推进新时代文明实践所（站）建设和管理。</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落实统战工作责任制，联系、团结、服务各类统一战线工作对象。</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开展民族团结进步宣传教育，持续深化民族团结进步建设，推广普及国家通用语言文字，推动构建互嵌式社会结构和社区环境。</w:t>
            </w:r>
          </w:p>
        </w:tc>
      </w:tr>
      <w:tr>
        <w:tblPrEx>
          <w:tblCellMar>
            <w:top w:w="0" w:type="dxa"/>
            <w:left w:w="0" w:type="dxa"/>
            <w:bottom w:w="0" w:type="dxa"/>
            <w:right w:w="0" w:type="dxa"/>
          </w:tblCellMar>
        </w:tblPrEx>
        <w:trPr>
          <w:trHeight w:val="855"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镇党委全面从严治党主体责任、纪委监督责任，扎实推进党风廉政建设和反腐败工作；发现和处理群众身边不正之风和腐败问题，依纪依规依法开展监督执纪问责，推动镇、嘎查村（社区）监督体系建设；按照权限处置问题线索，研究决定对党员干部和监察对象的处分；开展巡视巡察、审计、督查反馈问题整改工作。</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进党建引领基层治理，指导和支持基层群众性自治组织规范化、制度化建设；指导、监督嘎查村（社区）做好村（居）委会、监委会、村（居）民代表的换届选举、补选工作；指导、监督嘎查村（社区）落实“三务公开”“四议两公开”等制度。</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召开镇人民代表大会，负责人大代表选举、补选；负责镇人大、政府换届选举和补选工作；负责民生实事项目的票决和监督工作；履行镇主席团职责；支持和保障人大代表依法履职，办理人大代表议案建议，践行全过程人民民主。</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推进政协协商民主向基层延伸，服务保障政协委员开展民主监督、参政议政等活动，办理政协委员提案。</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负责领导和支持基层工会组织建设，依法缴纳会员会费，规范工会经费收支管理和使用，维护职工的合法权益；开展职工文化活动及帮扶救助；做好劳动模范和先进工作者培育推荐工作。</w:t>
            </w:r>
          </w:p>
        </w:tc>
      </w:tr>
      <w:tr>
        <w:tblPrEx>
          <w:tblCellMar>
            <w:top w:w="0" w:type="dxa"/>
            <w:left w:w="0" w:type="dxa"/>
            <w:bottom w:w="0" w:type="dxa"/>
            <w:right w:w="0" w:type="dxa"/>
          </w:tblCellMar>
        </w:tblPrEx>
        <w:trPr>
          <w:trHeight w:val="72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负责领导和支持基层团组织建设与管理工作，负责团员的发展教育、服务管理等工作，强化青年思想建设，服务青少年成长发展。</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负责领导和支持妇联组织建设，开展妇女思想政治引领、家庭文明建设，加强对妇女儿童的维权、救助、关爱工作，做好先进典型培育推荐工作。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组织开展关心下一代工作，发挥“五老”（老干部、老战士、老专家、老教师、老模范）作用，支持和帮助青少年成长成才。</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落实改革工作任务，理顺镇职能配置，编制镇履行职责事项清单并动态调整。</w:t>
            </w:r>
          </w:p>
        </w:tc>
      </w:tr>
      <w:tr>
        <w:tblPrEx>
          <w:tblCellMar>
            <w:top w:w="0" w:type="dxa"/>
            <w:left w:w="0" w:type="dxa"/>
            <w:bottom w:w="0" w:type="dxa"/>
            <w:right w:w="0" w:type="dxa"/>
          </w:tblCellMar>
        </w:tblPrEx>
        <w:trPr>
          <w:trHeight w:val="405"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二、经济发展（8项）</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负责谋划和储备本镇乡村振兴项目，加强衔接资金和项目管理。</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编制镇产业项目发展规划，发展壮大嘎查村（社区）集体经济。</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指导监督嘎查村（社区）财务活动，落实农村集体产权制度改革，负责对村办联合企业的监督管理。</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优化营商环境，开展招商引资，服务辖区企业，推进诚信体系建设。</w:t>
            </w:r>
          </w:p>
        </w:tc>
      </w:tr>
      <w:tr>
        <w:tblPrEx>
          <w:tblCellMar>
            <w:top w:w="0" w:type="dxa"/>
            <w:left w:w="0" w:type="dxa"/>
            <w:bottom w:w="0" w:type="dxa"/>
            <w:right w:w="0" w:type="dxa"/>
          </w:tblCellMar>
        </w:tblPrEx>
        <w:trPr>
          <w:trHeight w:val="94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统计“八有八化”工作，组织实施辖区内人口普查、经济普查、农牧业普查、人口抽样调查、名录库相应模块信息的维护更新及其他统计普查调查上报工作；指导监督嘎查村（社区）开展统计普查调查上报工作；承担本地经济运行数据监测、上报等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负责财政预决算，规范财政资金使用管理；负责内蒙古财政民生服务信息平台相应模块的管理。</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负责固定资产的配置、使用和处置工作，落实固定资产管理责任。</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做大做强辣椒、肉牛等特色农牧业产业；完善冷链物流和农产品深加工配套产业；发展红色手工艺品；推广“大沟湾鱼”“呼芦素鸡血面”等特色餐饮；推动一二三产融合发展。</w:t>
            </w:r>
          </w:p>
        </w:tc>
      </w:tr>
      <w:tr>
        <w:tblPrEx>
          <w:tblCellMar>
            <w:top w:w="0" w:type="dxa"/>
            <w:left w:w="0" w:type="dxa"/>
            <w:bottom w:w="0" w:type="dxa"/>
            <w:right w:w="0" w:type="dxa"/>
          </w:tblCellMar>
        </w:tblPrEx>
        <w:trPr>
          <w:trHeight w:val="405"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三、民生服务（16项）</w:t>
            </w:r>
          </w:p>
        </w:tc>
      </w:tr>
      <w:tr>
        <w:tblPrEx>
          <w:tblCellMar>
            <w:top w:w="0" w:type="dxa"/>
            <w:left w:w="0" w:type="dxa"/>
            <w:bottom w:w="0" w:type="dxa"/>
            <w:right w:w="0" w:type="dxa"/>
          </w:tblCellMar>
        </w:tblPrEx>
        <w:trPr>
          <w:trHeight w:val="724"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落实积极生育政策，开展优化生育政策宣传，更新维护全员人口信息，做好生育相关补贴、特别扶助的申请受理、初审、上报工作。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支持学前教育发展，依权限开展义务教育阶段学生控辍保学工作，维护未成年人权益。</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贯彻促进就业创业政策，收集、发布就业信息，开展就业、失业登记，做好相关就业补助资金申请的初审、上报工作，为劳动者提供就业创业服务，针对就业困难人员引导申报公益性岗位，组织人员参加就业创业技能培训。</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开展爱国卫生运动，倡导文明健康生活方式。</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3</w:t>
            </w:r>
            <w:r>
              <w:rPr>
                <w:rFonts w:hint="eastAsia" w:ascii="Times New Roman" w:hAnsi="Times New Roman" w:eastAsia="宋体" w:cs="Times New Roman"/>
                <w:i w:val="0"/>
                <w:color w:val="000000"/>
                <w:kern w:val="0"/>
                <w:sz w:val="24"/>
                <w:szCs w:val="24"/>
                <w:u w:val="none"/>
                <w:lang w:val="en-US" w:eastAsia="zh-CN" w:bidi="ar"/>
              </w:rPr>
              <w:t>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开展鼠疫防控知识宣传及踏查工作。</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39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开展妇女关爱扶持工作，做好孤儿、留守儿童、事实无人抚养儿童和困境儿童的动态管理及孤儿、事实无人抚养儿童基本生活保障的受理、审核、上报。</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宣传红十字精神，开展红十字会博爱送万家等活动，落实红十字会捐赠帮扶工作。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组织开展全民健身活动，统计上报辖区体育设施需求，支持全民健身运动。</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开展老年人关爱服务工作，建立独居、空巢、失能、重残特殊家庭老年人台账，落实老年人福利补贴政策，因地制宜推动养老服务设施建设管理工作，保障老年人权益。</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开展基本养老保险的政策宣传、参保登记、待遇申领、资格认证和参保缴费信息查询工作，开展基本医疗保险政策宣传、参保扩面动员工作。</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开展低收入人口摸排，根据实际情况落实临时救助、最低生活保障、特困人员帮扶等政策，定期走访困难群众，开展关爱服务，为生活困难的精神障碍患者家庭提供帮助。</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加强残联组织建设，关心关爱残疾人，帮助残疾人申请更换辅具，负责困难残疾人生活补贴、重度残疾人护理补贴的初审上报工作，保障残疾人合法权益。</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开展退役军人就业创业扶持、优抚帮扶、走访慰问、权益保护等服务保障工作，开展双拥工作。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4</w:t>
            </w:r>
            <w:r>
              <w:rPr>
                <w:rFonts w:hint="eastAsia" w:ascii="Times New Roman" w:hAnsi="Times New Roman" w:eastAsia="宋体" w:cs="Times New Roman"/>
                <w:i w:val="0"/>
                <w:color w:val="000000"/>
                <w:kern w:val="0"/>
                <w:sz w:val="24"/>
                <w:szCs w:val="24"/>
                <w:u w:val="none"/>
                <w:lang w:val="en-US" w:eastAsia="zh-CN" w:bidi="ar"/>
              </w:rPr>
              <w:t>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负责殡葬改革政策宣传，公益性墓地项目建设工作。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负责辖区内科学技术及社会科学普及工作。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负责辖区内社工站培育建设运营管理工作，加强社会工作者、志愿者队伍建设和管理，常态化开展志愿服务活动。</w:t>
            </w:r>
          </w:p>
        </w:tc>
      </w:tr>
      <w:tr>
        <w:tblPrEx>
          <w:tblCellMar>
            <w:top w:w="0" w:type="dxa"/>
            <w:left w:w="0" w:type="dxa"/>
            <w:bottom w:w="0" w:type="dxa"/>
            <w:right w:w="0" w:type="dxa"/>
          </w:tblCellMar>
        </w:tblPrEx>
        <w:trPr>
          <w:trHeight w:val="561"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四、平安法治（9项）</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做好法治建设工作，落实党政主要负责人履行推进法治建设第一责任人职责，认真落实法律顾问制度，常态化开展普法宣传活动及法律咨询、法律援助宣传教育。</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坚持和发展新时代“枫桥经验”，加强镇综治中心工作规范化建设，整合基层治理力量，“一站式”解决矛盾纠纷，加强风险源头防控，开展人民调解工作。</w:t>
            </w:r>
          </w:p>
        </w:tc>
      </w:tr>
      <w:tr>
        <w:tblPrEx>
          <w:tblCellMar>
            <w:top w:w="0" w:type="dxa"/>
            <w:left w:w="0" w:type="dxa"/>
            <w:bottom w:w="0" w:type="dxa"/>
            <w:right w:w="0" w:type="dxa"/>
          </w:tblCellMar>
        </w:tblPrEx>
        <w:trPr>
          <w:trHeight w:val="855"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落实社会治安综合治理责任制，加强社会治理网格化建设，做好网格化管理服务工作，做好重点群体的动态摸排、线索上报、定期上门走访，根据不同人员情况开展教育疏导。</w:t>
            </w:r>
          </w:p>
        </w:tc>
      </w:tr>
      <w:tr>
        <w:tblPrEx>
          <w:tblCellMar>
            <w:top w:w="0" w:type="dxa"/>
            <w:left w:w="0" w:type="dxa"/>
            <w:bottom w:w="0" w:type="dxa"/>
            <w:right w:w="0" w:type="dxa"/>
          </w:tblCellMar>
        </w:tblPrEx>
        <w:trPr>
          <w:trHeight w:val="855"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落实信访法治化工作要求，负责受理、办理群众来电来信来访和网上信访，承办上级直接交办的信访事项；落实“信访代办”工作制度，常态化排查信访矛盾隐患，做好相关人员的疏导教育、帮扶救助，引导群众依法信访；建立健全信访应急预案，联动协同处置突发事件。</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开展防范电信诈骗的宣传教育以及风险排查、预警、报告工作；组织开展禁毒、反邪教宣传教育工作。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宣传贯彻安全生产法律法规、规章制度，制定安全生产事故应急救援预案，及时上报安全生产事故相关信息。</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加强防灾减灾的知识宣传，预防自然灾害，发现灾情及时上报。</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消防安全责任制，将消防安全内容纳入镇总体规划，因地制宜落实消防安全“网格化”管理的措施和要求，积极宣传消防知识，指导嘎查村（社区）开展群众性的消防工作，发现火情及时上报、组织群众疏散。</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开展总体国家安全观的宣传工作。</w:t>
            </w:r>
          </w:p>
        </w:tc>
      </w:tr>
      <w:tr>
        <w:tblPrEx>
          <w:tblCellMar>
            <w:top w:w="0" w:type="dxa"/>
            <w:left w:w="0" w:type="dxa"/>
            <w:bottom w:w="0" w:type="dxa"/>
            <w:right w:w="0" w:type="dxa"/>
          </w:tblCellMar>
        </w:tblPrEx>
        <w:trPr>
          <w:trHeight w:val="405"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五、乡村振兴（25项）</w:t>
            </w:r>
          </w:p>
        </w:tc>
      </w:tr>
      <w:tr>
        <w:tblPrEx>
          <w:tblCellMar>
            <w:top w:w="0" w:type="dxa"/>
            <w:left w:w="0" w:type="dxa"/>
            <w:bottom w:w="0" w:type="dxa"/>
            <w:right w:w="0" w:type="dxa"/>
          </w:tblCellMar>
        </w:tblPrEx>
        <w:trPr>
          <w:trHeight w:val="64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宣传耕地和基本农田保护利用政策；依权限开展水土保持和基本农田保护管理工作；开展控肥、控药、控水、控膜“四控”行动。</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推广农机技术，负责农牧业机械安全宣传教育和农机事故前期应急处理。</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开展农业保险和政策性补贴项目宣传，做好政策性补贴项目申报和组织实施工作。</w:t>
            </w:r>
          </w:p>
        </w:tc>
      </w:tr>
      <w:tr>
        <w:tblPrEx>
          <w:tblCellMar>
            <w:top w:w="0" w:type="dxa"/>
            <w:left w:w="0" w:type="dxa"/>
            <w:bottom w:w="0" w:type="dxa"/>
            <w:right w:w="0" w:type="dxa"/>
          </w:tblCellMar>
        </w:tblPrEx>
        <w:trPr>
          <w:trHeight w:val="56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宣传农村土地确权工作法律法规，指导农村土地承包经营权流转并进行合同备案，调解职权范围内的土地（草原、林地）权属纠纷。</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农村牧区宅基地审批与管理。</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广泛宣传乡村振兴相关法律法规和政策；积极申报农业产业强镇建设项目，编制和组织实施乡村特色产业发展规划。</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负责推广农牧业实用技术，开展农业技术推广先进单位和个人表彰奖励的申报工作。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6</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负责饮用水水源保护和节约用水的宣传教育工作，落实水权制度改革相关工作。</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负责农村生活污水处理及设施运行维护工作，开展农业和农村生活污染防治；依权限治理农村人居环境，开展生活污水、垃圾等环境污染治理，指导各嘎查村推广运用“红黑榜”治理模式。</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负责粮食安全生产宣传工作，依权限开展粮食安全生产监督检查、粮食应急保供、耕地“非农化”“非粮化”以及耕地撂荒核查和问题线索报告工作。</w:t>
            </w:r>
          </w:p>
        </w:tc>
      </w:tr>
      <w:tr>
        <w:tblPrEx>
          <w:tblCellMar>
            <w:top w:w="0" w:type="dxa"/>
            <w:left w:w="0" w:type="dxa"/>
            <w:bottom w:w="0" w:type="dxa"/>
            <w:right w:w="0" w:type="dxa"/>
          </w:tblCellMar>
        </w:tblPrEx>
        <w:trPr>
          <w:trHeight w:val="66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持续开展巩固拓展脱贫攻坚成果同乡村振兴有效衔接工作，开展辖区内防止返贫动态监测与帮扶救助，制定帮扶措施，做好“易地扶贫”及后续扶持工作；及时维护防止返贫监测系统相应模块信息。</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负责动物疫病排查、上报及防控知识宣传工作。</w:t>
            </w:r>
          </w:p>
        </w:tc>
      </w:tr>
      <w:tr>
        <w:tblPrEx>
          <w:tblCellMar>
            <w:top w:w="0" w:type="dxa"/>
            <w:left w:w="0" w:type="dxa"/>
            <w:bottom w:w="0" w:type="dxa"/>
            <w:right w:w="0" w:type="dxa"/>
          </w:tblCellMar>
        </w:tblPrEx>
        <w:trPr>
          <w:trHeight w:val="58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*对占用耕地建窑、建坟或者擅自在耕地上建房、挖砂、采石、采矿、取土等，破坏种植条件的，或者因开发土地造成土地荒漠化、盐渍化的处罚。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*对破坏或者擅自改变基本农田保护区标志的处罚。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*对未经批准或者采取欺骗手段骗取批准，非法占用土地的处罚。</w:t>
            </w:r>
          </w:p>
        </w:tc>
      </w:tr>
      <w:tr>
        <w:tblPrEx>
          <w:tblCellMar>
            <w:top w:w="0" w:type="dxa"/>
            <w:left w:w="0" w:type="dxa"/>
            <w:bottom w:w="0" w:type="dxa"/>
            <w:right w:w="0" w:type="dxa"/>
          </w:tblCellMar>
        </w:tblPrEx>
        <w:trPr>
          <w:trHeight w:val="68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*对占用基本农田建窑、建房、建坟、挖砂、采石、采矿、取土、堆放固体废弃物或者从事其他活动破坏基本农田，毁坏种植条件的处罚。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*对不按规定的时间、地点、方式，倾倒垃圾、污水粪便的处罚。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7</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*对不自觉维护公共卫生，不爱护公共卫生设施的处罚。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*对未按规定实行包门前卫生、包绿化美化硬化、包管理的“门前三包”制度的处罚。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*对城市市区内饲养家禽家畜的处罚。</w:t>
            </w:r>
          </w:p>
        </w:tc>
      </w:tr>
      <w:tr>
        <w:tblPrEx>
          <w:tblCellMar>
            <w:top w:w="0" w:type="dxa"/>
            <w:left w:w="0" w:type="dxa"/>
            <w:bottom w:w="0" w:type="dxa"/>
            <w:right w:w="0" w:type="dxa"/>
          </w:tblCellMar>
        </w:tblPrEx>
        <w:trPr>
          <w:trHeight w:val="574"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*对擅自拆除、迁移、改建、停用农村牧区生活垃圾收集、转运、处置设施、场所或者改变其用途的处罚。</w:t>
            </w:r>
          </w:p>
        </w:tc>
      </w:tr>
      <w:tr>
        <w:tblPrEx>
          <w:tblCellMar>
            <w:top w:w="0" w:type="dxa"/>
            <w:left w:w="0" w:type="dxa"/>
            <w:bottom w:w="0" w:type="dxa"/>
            <w:right w:w="0" w:type="dxa"/>
          </w:tblCellMar>
        </w:tblPrEx>
        <w:trPr>
          <w:trHeight w:val="546"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*对向公共场所、村庄街道倾倒生活污水的处罚。</w:t>
            </w:r>
          </w:p>
        </w:tc>
      </w:tr>
      <w:tr>
        <w:tblPrEx>
          <w:tblCellMar>
            <w:top w:w="0" w:type="dxa"/>
            <w:left w:w="0" w:type="dxa"/>
            <w:bottom w:w="0" w:type="dxa"/>
            <w:right w:w="0" w:type="dxa"/>
          </w:tblCellMar>
        </w:tblPrEx>
        <w:trPr>
          <w:trHeight w:val="723"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*对随便便溺、乱扔杂物或随处张贴和喷涂小广告或在公共场所打场晒粮的处罚。</w:t>
            </w:r>
          </w:p>
        </w:tc>
      </w:tr>
      <w:tr>
        <w:tblPrEx>
          <w:tblCellMar>
            <w:top w:w="0" w:type="dxa"/>
            <w:left w:w="0" w:type="dxa"/>
            <w:bottom w:w="0" w:type="dxa"/>
            <w:right w:w="0" w:type="dxa"/>
          </w:tblCellMar>
        </w:tblPrEx>
        <w:trPr>
          <w:trHeight w:val="622"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*对农产品生产企业、农民专业合作社、从事农产品收购的单位或者个人未按照规定开具承诺达标合格证的处罚。</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*对农业投入品生产者、销售者、使用者未按照规定及时回收肥料等农业投入品的包装废弃物或者农用薄膜，或者未按照规定及时回收农药包装废弃物交由专门的机构或者组织进行无害化处理的处罚。</w:t>
            </w:r>
          </w:p>
        </w:tc>
      </w:tr>
      <w:tr>
        <w:tblPrEx>
          <w:tblCellMar>
            <w:top w:w="0" w:type="dxa"/>
            <w:left w:w="0" w:type="dxa"/>
            <w:bottom w:w="0" w:type="dxa"/>
            <w:right w:w="0" w:type="dxa"/>
          </w:tblCellMar>
        </w:tblPrEx>
        <w:trPr>
          <w:trHeight w:val="405"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六、城乡建设（10项）</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镇、嘎查村（社区）自建项目的申报、立项、招投标、工程监管、竣工验收及决算。</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低收入人群住房安全动态监测报告工作。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8</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负责村庄规划和城镇规划的编制、上报。</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实施清洁能源取暖改造工程。</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负责辖区内的乡道、村道养护工作；负责公共设施和公益事业建设申请的受理、初审、上报工作。</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负责指导成立业主大会，对选举产生的业主委员会进行备案，监督业主大会和业主委员会履职；负责组织、指导、协调本辖区内物业管理区域业主大会的工作。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负责垃圾治理宣传教育，指导农牧民生活垃圾源头减量、分类管理、资源化利用等工作，排查、整治农村非正规垃圾堆放点。</w:t>
            </w:r>
          </w:p>
        </w:tc>
      </w:tr>
      <w:tr>
        <w:tblPrEx>
          <w:shd w:val="clear" w:color="auto" w:fill="auto"/>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加强红色小镇建筑风貌管控，做好市政公用设施的维护与管理。</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*对损坏村庄和集镇的房屋、公共设施的处罚或乱堆粪便、垃圾、柴草，破坏村容镇貌和环境卫生行为的处罚。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*对违规搭建生产生活用房和畜禽养殖棚圈的处罚。</w:t>
            </w:r>
          </w:p>
        </w:tc>
      </w:tr>
      <w:tr>
        <w:tblPrEx>
          <w:tblCellMar>
            <w:top w:w="0" w:type="dxa"/>
            <w:left w:w="0" w:type="dxa"/>
            <w:bottom w:w="0" w:type="dxa"/>
            <w:right w:w="0" w:type="dxa"/>
          </w:tblCellMar>
        </w:tblPrEx>
        <w:trPr>
          <w:trHeight w:val="405"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七、生态环保（13项）</w:t>
            </w:r>
          </w:p>
        </w:tc>
      </w:tr>
      <w:tr>
        <w:tblPrEx>
          <w:tblCellMar>
            <w:top w:w="0" w:type="dxa"/>
            <w:left w:w="0" w:type="dxa"/>
            <w:bottom w:w="0" w:type="dxa"/>
            <w:right w:w="0" w:type="dxa"/>
          </w:tblCellMar>
        </w:tblPrEx>
        <w:trPr>
          <w:trHeight w:val="58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落实生态环境保护责任，开展生态环境保护和环境污染减排宣传工作，开展辖区内生态环境风险隐患的排查、上报和整治情况报送工作。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落实林长制，做好林草资源保护相关法律法规宣传，开展巡林巡草原工作，发现破坏森林草原资源的行为及时制止并上报。</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9</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落实河湖长制，开展日常巡查，发现问题及时上报。</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土地日常巡查，发现违法行为及时制止、上报。</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宣传森林草原防火知识；开展森林草原日常巡护和隐患排查报告等工作，负责辖区森林草原火源发现、管控、上报工作；制定森林草原防灭火应急预案，开展演练，做好值班值守。</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*对未按照规定进行打草的行为的处罚。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*对在基本草原上超过核定的载畜量放牧的处罚。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*对在禁牧区域或者休牧期间放牧的处罚。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*对破坏、擅自移动禁牧休牧标志的处罚。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*对不签订草畜平衡责任书的处罚。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*对侵占、破坏水源和抗旱设施的处罚。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*对擅自砍伐护堤护岸林木的处罚。</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10</w:t>
            </w:r>
            <w:r>
              <w:rPr>
                <w:rFonts w:hint="eastAsia" w:ascii="Times New Roman" w:hAnsi="Times New Roman" w:eastAsia="宋体" w:cs="Times New Roman"/>
                <w:i w:val="0"/>
                <w:color w:val="000000"/>
                <w:kern w:val="0"/>
                <w:sz w:val="24"/>
                <w:szCs w:val="24"/>
                <w:u w:val="none"/>
                <w:lang w:val="en-US" w:eastAsia="zh-CN" w:bidi="ar"/>
              </w:rPr>
              <w:t>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*对在林区采伐林木不依法采取防止水土流失措施的处罚。</w:t>
            </w:r>
          </w:p>
        </w:tc>
      </w:tr>
      <w:tr>
        <w:tblPrEx>
          <w:tblCellMar>
            <w:top w:w="0" w:type="dxa"/>
            <w:left w:w="0" w:type="dxa"/>
            <w:bottom w:w="0" w:type="dxa"/>
            <w:right w:w="0" w:type="dxa"/>
          </w:tblCellMar>
        </w:tblPrEx>
        <w:trPr>
          <w:trHeight w:val="405"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八、文化旅游（5项）</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围绕延安民族学院城川纪念馆和内蒙古城川干部学院，联动“阳早寒春”“铸牢中华民族共同体意识”教育馆等8个现场教学点，打造红色研学体验项目，开发“红色+生态”旅游产品。</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举办“城川镇辣椒节”，打造特色旅游路线，深入挖掘、开发、利用乡村旅游资源，挖掘保护红色资源，依权限开展旅游环境秩序维护等工作。</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09</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宣传文物保护相关法律法规；开展鄂尔多斯马具、毛毡、头饰制作工艺保护工作；落实职责范围内文物保护措施；开展非物质文化遗产的保护、传承和宣传推广工作。</w:t>
            </w:r>
          </w:p>
        </w:tc>
      </w:tr>
      <w:tr>
        <w:tblPrEx>
          <w:tblCellMar>
            <w:top w:w="0" w:type="dxa"/>
            <w:left w:w="0" w:type="dxa"/>
            <w:bottom w:w="0" w:type="dxa"/>
            <w:right w:w="0" w:type="dxa"/>
          </w:tblCellMar>
        </w:tblPrEx>
        <w:trPr>
          <w:trHeight w:val="57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0</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整合公共文化服务资源，加强基层公共文化设施的数字化和网络建设，开展各类文化活动，丰富群众文化生活；负责基层综合性文化服务中心、文化阵地建设；发掘培养文化能人；监督和指导草原书屋管理工作。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1</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加强对内蒙古城川干部学院支持保障，提供本土红色文化素材，参与学院课程开发与实践教学工作。</w:t>
            </w:r>
          </w:p>
        </w:tc>
      </w:tr>
      <w:tr>
        <w:tblPrEx>
          <w:tblCellMar>
            <w:top w:w="0" w:type="dxa"/>
            <w:left w:w="0" w:type="dxa"/>
            <w:bottom w:w="0" w:type="dxa"/>
            <w:right w:w="0" w:type="dxa"/>
          </w:tblCellMar>
        </w:tblPrEx>
        <w:trPr>
          <w:trHeight w:val="405"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九、综合政务（7项）</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2</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负责镇党委和政府的公文</w:t>
            </w:r>
            <w:bookmarkStart w:id="0" w:name="_GoBack"/>
            <w:bookmarkEnd w:id="0"/>
            <w:r>
              <w:rPr>
                <w:rFonts w:hint="eastAsia" w:ascii="仿宋_GB2312" w:hAnsi="宋体" w:eastAsia="仿宋_GB2312" w:cs="仿宋_GB2312"/>
                <w:i w:val="0"/>
                <w:color w:val="000000"/>
                <w:kern w:val="0"/>
                <w:sz w:val="24"/>
                <w:szCs w:val="24"/>
                <w:u w:val="none"/>
                <w:lang w:val="en-US" w:eastAsia="zh-CN" w:bidi="ar"/>
              </w:rPr>
              <w:t>制发办理、备案审查、会议筹办等日常运转、综合协调工作。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3</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负责保密管理工作；做好国家秘密载体、涉密人员管理工作；指导嘎查村（社区）做好日常保密工作。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4</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负责档案管理工作，指导嘎查村（社区）开展档案管理工作；负责地方志本镇年报资料搜集、整理和报送工作。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11</w:t>
            </w:r>
            <w:r>
              <w:rPr>
                <w:rFonts w:hint="eastAsia" w:ascii="Times New Roman" w:hAnsi="Times New Roman" w:eastAsia="宋体" w:cs="Times New Roman"/>
                <w:i w:val="0"/>
                <w:color w:val="000000"/>
                <w:kern w:val="0"/>
                <w:sz w:val="24"/>
                <w:szCs w:val="24"/>
                <w:u w:val="none"/>
                <w:lang w:val="en-US" w:eastAsia="zh-CN" w:bidi="ar"/>
              </w:rPr>
              <w:t>5</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落实政务、财务公开制度，负责本级政务、财务公开的日常工作。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16</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负责资金账户管理以及人员工资、津补贴等的核算、发放工作；做好镇级“三公”经费管理工作。</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17</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负责镇便民服务大厅管理和指导嘎查村（社区）便民服务站的建设运行，提供咨询、代办、帮办等服务。</w:t>
            </w:r>
          </w:p>
        </w:tc>
      </w:tr>
      <w:tr>
        <w:tblPrEx>
          <w:tblCellMar>
            <w:top w:w="0" w:type="dxa"/>
            <w:left w:w="0" w:type="dxa"/>
            <w:bottom w:w="0" w:type="dxa"/>
            <w:right w:w="0" w:type="dxa"/>
          </w:tblCellMar>
        </w:tblPrEx>
        <w:trPr>
          <w:trHeight w:val="500" w:hRule="atLeast"/>
        </w:trPr>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1</w:t>
            </w:r>
            <w:r>
              <w:rPr>
                <w:rFonts w:hint="eastAsia" w:ascii="Times New Roman" w:hAnsi="Times New Roman" w:eastAsia="宋体" w:cs="Times New Roman"/>
                <w:i w:val="0"/>
                <w:color w:val="000000"/>
                <w:kern w:val="0"/>
                <w:sz w:val="24"/>
                <w:szCs w:val="24"/>
                <w:u w:val="none"/>
                <w:lang w:val="en-US" w:eastAsia="zh-CN" w:bidi="ar"/>
              </w:rPr>
              <w:t>18</w:t>
            </w:r>
          </w:p>
        </w:tc>
        <w:tc>
          <w:tcPr>
            <w:tcW w:w="13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负责“12345”政务服务热线等政务平台转办事项的办理落实，并及时反馈。</w:t>
            </w:r>
          </w:p>
        </w:tc>
      </w:tr>
      <w:tr>
        <w:tblPrEx>
          <w:tblCellMar>
            <w:top w:w="0" w:type="dxa"/>
            <w:left w:w="0" w:type="dxa"/>
            <w:bottom w:w="0" w:type="dxa"/>
            <w:right w:w="0" w:type="dxa"/>
          </w:tblCellMar>
        </w:tblPrEx>
        <w:trPr>
          <w:trHeight w:val="656" w:hRule="atLeast"/>
        </w:trPr>
        <w:tc>
          <w:tcPr>
            <w:tcW w:w="144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注：1.根据清单工作整体部署将适时对清单内容进行修订。2.*标注事项为本镇所承担的执法事项。</w:t>
            </w:r>
          </w:p>
        </w:tc>
      </w:tr>
    </w:tbl>
    <w:p/>
    <w:sectPr>
      <w:pgSz w:w="16783" w:h="11850" w:orient="landscape"/>
      <w:pgMar w:top="1020" w:right="964" w:bottom="1077" w:left="1083" w:header="851" w:footer="39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2B22EE"/>
    <w:rsid w:val="152C19CE"/>
    <w:rsid w:val="19FC39B4"/>
    <w:rsid w:val="1A7A7DDB"/>
    <w:rsid w:val="21075A02"/>
    <w:rsid w:val="3E0B71BC"/>
    <w:rsid w:val="44720BB1"/>
    <w:rsid w:val="4E9B3636"/>
    <w:rsid w:val="58AD572E"/>
    <w:rsid w:val="58C72B34"/>
    <w:rsid w:val="7724404C"/>
    <w:rsid w:val="7BFF3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qFormat/>
    <w:uiPriority w:val="0"/>
    <w:rPr>
      <w:rFonts w:hint="eastAsia" w:ascii="黑体" w:hAnsi="宋体" w:eastAsia="黑体" w:cs="黑体"/>
      <w:color w:val="000000"/>
      <w:sz w:val="32"/>
      <w:szCs w:val="32"/>
      <w:u w:val="none"/>
    </w:rPr>
  </w:style>
  <w:style w:type="character" w:customStyle="1" w:styleId="7">
    <w:name w:val="font01"/>
    <w:basedOn w:val="5"/>
    <w:qFormat/>
    <w:uiPriority w:val="0"/>
    <w:rPr>
      <w:rFonts w:hint="eastAsia" w:ascii="黑体" w:hAnsi="宋体" w:eastAsia="黑体" w:cs="黑体"/>
      <w:color w:val="000000"/>
      <w:sz w:val="32"/>
      <w:szCs w:val="32"/>
      <w:u w:val="none"/>
    </w:rPr>
  </w:style>
  <w:style w:type="character" w:customStyle="1" w:styleId="8">
    <w:name w:val="font201"/>
    <w:basedOn w:val="5"/>
    <w:qFormat/>
    <w:uiPriority w:val="0"/>
    <w:rPr>
      <w:rFonts w:hint="eastAsia" w:ascii="黑体" w:hAnsi="宋体" w:eastAsia="黑体" w:cs="黑体"/>
      <w:color w:val="000000"/>
      <w:sz w:val="28"/>
      <w:szCs w:val="28"/>
      <w:u w:val="none"/>
    </w:rPr>
  </w:style>
  <w:style w:type="character" w:customStyle="1" w:styleId="9">
    <w:name w:val="font141"/>
    <w:basedOn w:val="5"/>
    <w:qFormat/>
    <w:uiPriority w:val="0"/>
    <w:rPr>
      <w:rFonts w:hint="default" w:ascii="Times New Roman" w:hAnsi="Times New Roman" w:cs="Times New Roman"/>
      <w:color w:val="000000"/>
      <w:sz w:val="28"/>
      <w:szCs w:val="28"/>
      <w:u w:val="none"/>
    </w:rPr>
  </w:style>
  <w:style w:type="character" w:customStyle="1" w:styleId="10">
    <w:name w:val="font61"/>
    <w:basedOn w:val="5"/>
    <w:qFormat/>
    <w:uiPriority w:val="0"/>
    <w:rPr>
      <w:rFonts w:hint="eastAsia" w:ascii="黑体" w:hAnsi="宋体" w:eastAsia="黑体" w:cs="黑体"/>
      <w:color w:val="000000"/>
      <w:sz w:val="32"/>
      <w:szCs w:val="32"/>
      <w:u w:val="none"/>
    </w:rPr>
  </w:style>
  <w:style w:type="character" w:customStyle="1" w:styleId="11">
    <w:name w:val="font41"/>
    <w:basedOn w:val="5"/>
    <w:qFormat/>
    <w:uiPriority w:val="0"/>
    <w:rPr>
      <w:rFonts w:hint="eastAsia" w:ascii="黑体" w:hAnsi="宋体" w:eastAsia="黑体" w:cs="黑体"/>
      <w:color w:val="000000"/>
      <w:sz w:val="32"/>
      <w:szCs w:val="32"/>
      <w:u w:val="none"/>
    </w:rPr>
  </w:style>
  <w:style w:type="character" w:customStyle="1" w:styleId="12">
    <w:name w:val="font231"/>
    <w:basedOn w:val="5"/>
    <w:qFormat/>
    <w:uiPriority w:val="0"/>
    <w:rPr>
      <w:rFonts w:hint="eastAsia" w:ascii="仿宋_GB2312" w:eastAsia="仿宋_GB2312" w:cs="仿宋_GB2312"/>
      <w:color w:val="000000"/>
      <w:sz w:val="24"/>
      <w:szCs w:val="24"/>
      <w:u w:val="none"/>
    </w:rPr>
  </w:style>
  <w:style w:type="character" w:customStyle="1" w:styleId="13">
    <w:name w:val="font31"/>
    <w:basedOn w:val="5"/>
    <w:qFormat/>
    <w:uiPriority w:val="0"/>
    <w:rPr>
      <w:rFonts w:hint="eastAsia" w:ascii="仿宋_GB2312" w:eastAsia="仿宋_GB2312" w:cs="仿宋_GB2312"/>
      <w:color w:val="000000"/>
      <w:sz w:val="24"/>
      <w:szCs w:val="24"/>
      <w:u w:val="none"/>
    </w:rPr>
  </w:style>
  <w:style w:type="character" w:customStyle="1" w:styleId="14">
    <w:name w:val="font151"/>
    <w:basedOn w:val="5"/>
    <w:qFormat/>
    <w:uiPriority w:val="0"/>
    <w:rPr>
      <w:rFonts w:hint="eastAsia" w:ascii="仿宋_GB2312" w:eastAsia="仿宋_GB2312" w:cs="仿宋_GB2312"/>
      <w:color w:val="000000"/>
      <w:sz w:val="24"/>
      <w:szCs w:val="24"/>
      <w:u w:val="none"/>
    </w:rPr>
  </w:style>
  <w:style w:type="character" w:customStyle="1" w:styleId="15">
    <w:name w:val="font131"/>
    <w:basedOn w:val="5"/>
    <w:qFormat/>
    <w:uiPriority w:val="0"/>
    <w:rPr>
      <w:rFonts w:hint="default" w:ascii="Times New Roman" w:hAnsi="Times New Roman" w:cs="Times New Roman"/>
      <w:color w:val="000000"/>
      <w:sz w:val="32"/>
      <w:szCs w:val="32"/>
      <w:u w:val="none"/>
    </w:rPr>
  </w:style>
  <w:style w:type="character" w:customStyle="1" w:styleId="16">
    <w:name w:val="font241"/>
    <w:basedOn w:val="5"/>
    <w:qFormat/>
    <w:uiPriority w:val="0"/>
    <w:rPr>
      <w:rFonts w:hint="eastAsia" w:ascii="黑体" w:hAnsi="宋体" w:eastAsia="黑体" w:cs="黑体"/>
      <w:color w:val="000000"/>
      <w:sz w:val="32"/>
      <w:szCs w:val="32"/>
      <w:u w:val="none"/>
    </w:rPr>
  </w:style>
  <w:style w:type="character" w:customStyle="1" w:styleId="17">
    <w:name w:val="font161"/>
    <w:basedOn w:val="5"/>
    <w:qFormat/>
    <w:uiPriority w:val="0"/>
    <w:rPr>
      <w:rFonts w:hint="default" w:ascii="Times New Roman" w:hAnsi="Times New Roman" w:cs="Times New Roman"/>
      <w:color w:val="000000"/>
      <w:sz w:val="32"/>
      <w:szCs w:val="3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1</Lines>
  <Paragraphs>1</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2025-08-25T11:44:00Z</dcterms:created>
  <dc:creator>Administrator</dc:creator>
  <cp:lastModifiedBy>Administrator</cp:lastModifiedBy>
  <dcterms:modified xsi:type="dcterms:W3CDTF">2025-08-29T10:56:24Z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E3ADB2721E67EFC3475DB168B68C376C_42</vt:lpwstr>
  </property>
</Properties>
</file>