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373" w:type="dxa"/>
        <w:jc w:val="center"/>
        <w:shd w:val="clear" w:color="auto" w:fill="auto"/>
        <w:tblLayout w:type="fixed"/>
        <w:tblCellMar>
          <w:top w:w="0" w:type="dxa"/>
          <w:left w:w="0" w:type="dxa"/>
          <w:bottom w:w="0" w:type="dxa"/>
          <w:right w:w="0" w:type="dxa"/>
        </w:tblCellMar>
      </w:tblPr>
      <w:tblGrid>
        <w:gridCol w:w="1021"/>
        <w:gridCol w:w="4256"/>
        <w:gridCol w:w="10096"/>
      </w:tblGrid>
      <w:tr w14:paraId="063D7EA7">
        <w:tblPrEx>
          <w:shd w:val="clear" w:color="auto" w:fill="auto"/>
          <w:tblCellMar>
            <w:top w:w="0" w:type="dxa"/>
            <w:left w:w="0" w:type="dxa"/>
            <w:bottom w:w="0" w:type="dxa"/>
            <w:right w:w="0" w:type="dxa"/>
          </w:tblCellMar>
        </w:tblPrEx>
        <w:trPr>
          <w:trHeight w:val="480" w:hRule="atLeast"/>
          <w:jc w:val="center"/>
        </w:trPr>
        <w:tc>
          <w:tcPr>
            <w:tcW w:w="1021" w:type="dxa"/>
            <w:tcBorders>
              <w:top w:val="nil"/>
              <w:left w:val="nil"/>
              <w:bottom w:val="nil"/>
              <w:right w:val="nil"/>
            </w:tcBorders>
            <w:shd w:val="clear" w:color="auto" w:fill="auto"/>
            <w:noWrap/>
            <w:tcMar>
              <w:top w:w="15" w:type="dxa"/>
              <w:left w:w="15" w:type="dxa"/>
              <w:right w:w="15" w:type="dxa"/>
            </w:tcMar>
            <w:vAlign w:val="center"/>
          </w:tcPr>
          <w:p w14:paraId="7D1FDAE4">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w:t>
            </w:r>
            <w:r>
              <w:rPr>
                <w:rFonts w:hint="default" w:ascii="黑体" w:hAnsi="宋体" w:eastAsia="黑体" w:cs="黑体"/>
                <w:i w:val="0"/>
                <w:color w:val="000000"/>
                <w:kern w:val="0"/>
                <w:sz w:val="32"/>
                <w:szCs w:val="32"/>
                <w:u w:val="none"/>
                <w:lang w:val="en-US" w:eastAsia="zh-CN" w:bidi="ar"/>
              </w:rPr>
              <w:t>3</w:t>
            </w:r>
          </w:p>
        </w:tc>
        <w:tc>
          <w:tcPr>
            <w:tcW w:w="4256" w:type="dxa"/>
            <w:tcBorders>
              <w:top w:val="nil"/>
              <w:left w:val="nil"/>
              <w:bottom w:val="nil"/>
              <w:right w:val="nil"/>
            </w:tcBorders>
            <w:shd w:val="clear" w:color="auto" w:fill="auto"/>
            <w:noWrap/>
            <w:tcMar>
              <w:top w:w="15" w:type="dxa"/>
              <w:left w:w="15" w:type="dxa"/>
              <w:right w:w="15" w:type="dxa"/>
            </w:tcMar>
            <w:vAlign w:val="center"/>
          </w:tcPr>
          <w:p w14:paraId="14002E81">
            <w:pPr>
              <w:jc w:val="center"/>
              <w:rPr>
                <w:rFonts w:hint="eastAsia" w:ascii="宋体" w:hAnsi="宋体" w:eastAsia="宋体" w:cs="宋体"/>
                <w:i w:val="0"/>
                <w:color w:val="000000"/>
                <w:sz w:val="22"/>
                <w:szCs w:val="22"/>
                <w:u w:val="none"/>
              </w:rPr>
            </w:pPr>
          </w:p>
        </w:tc>
        <w:tc>
          <w:tcPr>
            <w:tcW w:w="10096" w:type="dxa"/>
            <w:tcBorders>
              <w:top w:val="nil"/>
              <w:left w:val="nil"/>
              <w:bottom w:val="nil"/>
              <w:right w:val="nil"/>
            </w:tcBorders>
            <w:shd w:val="clear" w:color="auto" w:fill="auto"/>
            <w:noWrap/>
            <w:tcMar>
              <w:top w:w="15" w:type="dxa"/>
              <w:left w:w="15" w:type="dxa"/>
              <w:right w:w="15" w:type="dxa"/>
            </w:tcMar>
            <w:vAlign w:val="center"/>
          </w:tcPr>
          <w:p w14:paraId="610FFAE9">
            <w:pPr>
              <w:jc w:val="left"/>
              <w:rPr>
                <w:rFonts w:hint="eastAsia" w:ascii="宋体" w:hAnsi="宋体" w:eastAsia="宋体" w:cs="宋体"/>
                <w:i w:val="0"/>
                <w:color w:val="000000"/>
                <w:sz w:val="22"/>
                <w:szCs w:val="22"/>
                <w:u w:val="none"/>
              </w:rPr>
            </w:pPr>
          </w:p>
        </w:tc>
      </w:tr>
      <w:tr w14:paraId="29D7FFB8">
        <w:tblPrEx>
          <w:tblCellMar>
            <w:top w:w="0" w:type="dxa"/>
            <w:left w:w="0" w:type="dxa"/>
            <w:bottom w:w="0" w:type="dxa"/>
            <w:right w:w="0" w:type="dxa"/>
          </w:tblCellMar>
        </w:tblPrEx>
        <w:trPr>
          <w:trHeight w:val="570" w:hRule="atLeast"/>
          <w:jc w:val="center"/>
        </w:trPr>
        <w:tc>
          <w:tcPr>
            <w:tcW w:w="15373" w:type="dxa"/>
            <w:gridSpan w:val="3"/>
            <w:tcBorders>
              <w:top w:val="nil"/>
              <w:left w:val="nil"/>
              <w:bottom w:val="single" w:color="000000" w:sz="4" w:space="0"/>
              <w:right w:val="nil"/>
            </w:tcBorders>
            <w:shd w:val="clear" w:color="auto" w:fill="auto"/>
            <w:tcMar>
              <w:top w:w="15" w:type="dxa"/>
              <w:left w:w="15" w:type="dxa"/>
              <w:right w:w="15" w:type="dxa"/>
            </w:tcMar>
            <w:vAlign w:val="center"/>
          </w:tcPr>
          <w:p w14:paraId="41035114">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4"/>
                <w:szCs w:val="44"/>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鄂托克前旗城川镇上级部门收回事项清单</w:t>
            </w:r>
          </w:p>
        </w:tc>
      </w:tr>
      <w:tr w14:paraId="21B99B41">
        <w:tblPrEx>
          <w:tblCellMar>
            <w:top w:w="0" w:type="dxa"/>
            <w:left w:w="0" w:type="dxa"/>
            <w:bottom w:w="0" w:type="dxa"/>
            <w:right w:w="0" w:type="dxa"/>
          </w:tblCellMar>
        </w:tblPrEx>
        <w:trPr>
          <w:trHeight w:val="822"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E8D74">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6BDAF">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事项名称</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0A9CA">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承接部门及工作方式</w:t>
            </w:r>
          </w:p>
        </w:tc>
      </w:tr>
      <w:tr w14:paraId="0703EBCE">
        <w:tblPrEx>
          <w:tblCellMar>
            <w:top w:w="0" w:type="dxa"/>
            <w:left w:w="0" w:type="dxa"/>
            <w:bottom w:w="0" w:type="dxa"/>
            <w:right w:w="0" w:type="dxa"/>
          </w:tblCellMar>
        </w:tblPrEx>
        <w:trPr>
          <w:trHeight w:val="760" w:hRule="atLeast"/>
          <w:jc w:val="center"/>
        </w:trPr>
        <w:tc>
          <w:tcPr>
            <w:tcW w:w="153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8EFD6">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一、民生服务（</w:t>
            </w:r>
            <w:r>
              <w:rPr>
                <w:rFonts w:hint="default" w:ascii="黑体" w:hAnsi="宋体" w:eastAsia="黑体" w:cs="黑体"/>
                <w:i w:val="0"/>
                <w:color w:val="000000"/>
                <w:kern w:val="0"/>
                <w:sz w:val="32"/>
                <w:szCs w:val="32"/>
                <w:u w:val="none"/>
                <w:lang w:val="en-US" w:eastAsia="zh-CN" w:bidi="ar"/>
              </w:rPr>
              <w:t>9</w:t>
            </w:r>
            <w:r>
              <w:rPr>
                <w:rFonts w:hint="eastAsia" w:ascii="黑体" w:hAnsi="宋体" w:eastAsia="黑体" w:cs="黑体"/>
                <w:i w:val="0"/>
                <w:color w:val="000000"/>
                <w:kern w:val="0"/>
                <w:sz w:val="32"/>
                <w:szCs w:val="32"/>
                <w:u w:val="none"/>
                <w:lang w:val="en-US" w:eastAsia="zh-CN" w:bidi="ar"/>
              </w:rPr>
              <w:t>项）</w:t>
            </w:r>
          </w:p>
        </w:tc>
      </w:tr>
      <w:tr w14:paraId="70E887DB">
        <w:tblPrEx>
          <w:tblCellMar>
            <w:top w:w="0" w:type="dxa"/>
            <w:left w:w="0" w:type="dxa"/>
            <w:bottom w:w="0" w:type="dxa"/>
            <w:right w:w="0" w:type="dxa"/>
          </w:tblCellMar>
        </w:tblPrEx>
        <w:trPr>
          <w:trHeight w:val="3934"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F68F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C0768">
            <w:pPr>
              <w:keepNext w:val="0"/>
              <w:keepLines w:val="0"/>
              <w:widowControl/>
              <w:suppressLineNumbers w:val="0"/>
              <w:jc w:val="left"/>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适龄儿童、少年因身体状况需要延缓入学或者休学审批。</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D61C3">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一、中小学生休学流程：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1.由学生父母或其他法定监护人向所在学校提出申请（提供县级以上医疗机构证明、病历等材料）；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2.学校确认申请信息；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3.学校报学籍管理部门；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4.学籍管理部门核准；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5.休学期满后确需继续休学的，应重新申请办理。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二、幼儿园缓学（应入小学暂不入小学）流程：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1.家长到幼儿园提出缓学申请，幼儿园根据空余学位开具接受证明；</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2.根据幼儿园开具的接受证明，集中开具缓学证；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3.向幼儿园统一发放缓学证明。</w:t>
            </w:r>
          </w:p>
        </w:tc>
      </w:tr>
      <w:tr w14:paraId="6D768B14">
        <w:tblPrEx>
          <w:tblCellMar>
            <w:top w:w="0" w:type="dxa"/>
            <w:left w:w="0" w:type="dxa"/>
            <w:bottom w:w="0" w:type="dxa"/>
            <w:right w:w="0" w:type="dxa"/>
          </w:tblCellMar>
        </w:tblPrEx>
        <w:trPr>
          <w:trHeight w:val="2764"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1C1B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4C494">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违规多领取高龄补贴、最低生活保障、特困人员基本生活保障、残疾人两项补贴等民政补贴的追缴。</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B7400">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1.对日常工作、群众举报、上级交办或其他途径中发现疑似以虚报、隐瞒、伪造等手段，骗取社会救助资金的行为，决定是否立案；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违规领取行为，由民政局决定停止发放社会救助资金，联系相关镇对当事人信息进行确认，及时向当事人或其家属发出追缴通知，责令限期退回非法获取的救助资金，可根据情况和法律法规处以罚款、给予处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3.广泛宣传社会救助资金的发放政策，让公众了解违规领取的后果，增强其法律意识和诚信意识；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4.定期对补贴发放对象进行全面核查，核实相关信息的真实性和是否发生变化。</w:t>
            </w:r>
          </w:p>
        </w:tc>
      </w:tr>
      <w:tr w14:paraId="1B7035F8">
        <w:tblPrEx>
          <w:tblCellMar>
            <w:top w:w="0" w:type="dxa"/>
            <w:left w:w="0" w:type="dxa"/>
            <w:bottom w:w="0" w:type="dxa"/>
            <w:right w:w="0" w:type="dxa"/>
          </w:tblCellMar>
        </w:tblPrEx>
        <w:trPr>
          <w:trHeight w:val="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AFFB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EB4E7">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残疾人临时救助资金审核发放。</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B467A">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1.对申请残疾人临时救助资料进行审核；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2.对符合条件的及时核发救助金。</w:t>
            </w:r>
          </w:p>
        </w:tc>
      </w:tr>
      <w:tr w14:paraId="22766402">
        <w:tblPrEx>
          <w:tblCellMar>
            <w:top w:w="0" w:type="dxa"/>
            <w:left w:w="0" w:type="dxa"/>
            <w:bottom w:w="0" w:type="dxa"/>
            <w:right w:w="0" w:type="dxa"/>
          </w:tblCellMar>
        </w:tblPrEx>
        <w:trPr>
          <w:trHeight w:val="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C358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5DB41">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残疾人康复补助办理。</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F7146">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1.对申请残疾人康复补助资料进行审核；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2.对符合条件的，批准并发放补助资金。</w:t>
            </w:r>
          </w:p>
        </w:tc>
      </w:tr>
      <w:tr w14:paraId="71EA71E3">
        <w:tblPrEx>
          <w:tblCellMar>
            <w:top w:w="0" w:type="dxa"/>
            <w:left w:w="0" w:type="dxa"/>
            <w:bottom w:w="0" w:type="dxa"/>
            <w:right w:w="0" w:type="dxa"/>
          </w:tblCellMar>
        </w:tblPrEx>
        <w:trPr>
          <w:trHeight w:val="22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BC4D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70D76">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违规领取社会保险金的追缴。</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06AB2">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1.对日常工作、群众举报、上级交办或其他途径中发现疑似违规领取社会保险金的行为，决定是否立案；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违规领取行为，由人力资源和社会保障局决定停止发放社会保险金，联系所在镇对当事人信息进行确认，及时向当事人或其家属发出追缴通知，责令限期退回非法获取的社会保险金，处骗取金额二倍以上五倍以下的罚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3.广泛宣传社会保险金的发放政策，让公众了解违规领取的后果，增强其法律意识和诚信意识；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4.定期对社会保险金发放对象进行全面核查，核实相关信息的真实性和是否发生变化。</w:t>
            </w:r>
          </w:p>
        </w:tc>
      </w:tr>
      <w:tr w14:paraId="364D2EB6">
        <w:tblPrEx>
          <w:tblCellMar>
            <w:top w:w="0" w:type="dxa"/>
            <w:left w:w="0" w:type="dxa"/>
            <w:bottom w:w="0" w:type="dxa"/>
            <w:right w:w="0" w:type="dxa"/>
          </w:tblCellMar>
        </w:tblPrEx>
        <w:trPr>
          <w:trHeight w:val="82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3852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2D3E6">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城乡居民基本医疗保险已缴费人员统计。</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E55FB">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旗医疗保障局：</w:t>
            </w:r>
            <w:r>
              <w:rPr>
                <w:rStyle w:val="11"/>
                <w:rFonts w:hAnsi="宋体"/>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通过医保缴费系统统计城乡居民基本医疗保险缴费情况。</w:t>
            </w:r>
          </w:p>
        </w:tc>
      </w:tr>
      <w:tr w14:paraId="41EC0CA8">
        <w:tblPrEx>
          <w:tblCellMar>
            <w:top w:w="0" w:type="dxa"/>
            <w:left w:w="0" w:type="dxa"/>
            <w:bottom w:w="0" w:type="dxa"/>
            <w:right w:w="0" w:type="dxa"/>
          </w:tblCellMar>
        </w:tblPrEx>
        <w:trPr>
          <w:trHeight w:val="18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40F2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ECA7A">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农村牧区生活饮用水水质检测监督。</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0C1D9">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1.根据城乡供水实际情况，科学规划并设立水质监测点，实现广泛覆盖；</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2.严格按照采样标准，定时定点采集出厂水、水源水及管网末梢水等水样，确保样品的代表性和完整性；</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3.对采集的水样进行实验室检测，分析水质指标；</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4.将检测结果及时上报至相关部门，并进行数据分析，全面掌握饮用水卫生安全现状；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5.按照相关规定，定期公开水质信息，接受社会监督，并对发现的问题进行及时反馈和处理。</w:t>
            </w:r>
          </w:p>
        </w:tc>
      </w:tr>
      <w:tr w14:paraId="56D632D5">
        <w:tblPrEx>
          <w:tblCellMar>
            <w:top w:w="0" w:type="dxa"/>
            <w:left w:w="0" w:type="dxa"/>
            <w:bottom w:w="0" w:type="dxa"/>
            <w:right w:w="0" w:type="dxa"/>
          </w:tblCellMar>
        </w:tblPrEx>
        <w:trPr>
          <w:trHeight w:val="9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9BD6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EF096">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残疾人助听器适配补贴办理。</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012B7">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1.对申请残疾人助听器适配补贴资料进行审核；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2.对符合条件的，批准并发放补贴资金。</w:t>
            </w:r>
          </w:p>
        </w:tc>
      </w:tr>
      <w:tr w14:paraId="4B58475E">
        <w:tblPrEx>
          <w:tblCellMar>
            <w:top w:w="0" w:type="dxa"/>
            <w:left w:w="0" w:type="dxa"/>
            <w:bottom w:w="0" w:type="dxa"/>
            <w:right w:w="0" w:type="dxa"/>
          </w:tblCellMar>
        </w:tblPrEx>
        <w:trPr>
          <w:trHeight w:val="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37EE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A67F6">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烈士陵园等红色教育基地修缮维护工作。</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0F554">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旗退役军人事务局：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1.定期对烈士陵园等红色教育基地进行排查；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2.对排查发现的破损情况进行修缮维护。</w:t>
            </w:r>
          </w:p>
        </w:tc>
      </w:tr>
      <w:tr w14:paraId="4AE11A34">
        <w:tblPrEx>
          <w:tblCellMar>
            <w:top w:w="0" w:type="dxa"/>
            <w:left w:w="0" w:type="dxa"/>
            <w:bottom w:w="0" w:type="dxa"/>
            <w:right w:w="0" w:type="dxa"/>
          </w:tblCellMar>
        </w:tblPrEx>
        <w:trPr>
          <w:trHeight w:val="760" w:hRule="atLeast"/>
          <w:jc w:val="center"/>
        </w:trPr>
        <w:tc>
          <w:tcPr>
            <w:tcW w:w="153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F7613">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二、平安法治（8项）</w:t>
            </w:r>
          </w:p>
        </w:tc>
      </w:tr>
      <w:tr w14:paraId="50A02EEE">
        <w:tblPrEx>
          <w:tblCellMar>
            <w:top w:w="0" w:type="dxa"/>
            <w:left w:w="0" w:type="dxa"/>
            <w:bottom w:w="0" w:type="dxa"/>
            <w:right w:w="0" w:type="dxa"/>
          </w:tblCellMar>
        </w:tblPrEx>
        <w:trPr>
          <w:trHeight w:val="102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B5A9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1EA9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办理涉法涉诉信访案件。</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160E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旗委政法委：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在接收到涉法涉诉信访案件后，依法进行调查核实，并依据相关法律法规和政策规定，对信访人的诉求进行答复和处理。</w:t>
            </w:r>
          </w:p>
        </w:tc>
      </w:tr>
      <w:tr w14:paraId="06725DE9">
        <w:tblPrEx>
          <w:tblCellMar>
            <w:top w:w="0" w:type="dxa"/>
            <w:left w:w="0" w:type="dxa"/>
            <w:bottom w:w="0" w:type="dxa"/>
            <w:right w:w="0" w:type="dxa"/>
          </w:tblCellMar>
        </w:tblPrEx>
        <w:trPr>
          <w:trHeight w:val="1008"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C711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B988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建设微型消防站。</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3782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r>
              <w:rPr>
                <w:rStyle w:val="11"/>
                <w:rFonts w:hAnsi="宋体"/>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指导嘎查村（社区）按需求建设微型消防站。</w:t>
            </w:r>
          </w:p>
        </w:tc>
      </w:tr>
      <w:tr w14:paraId="4C5D5201">
        <w:tblPrEx>
          <w:tblCellMar>
            <w:top w:w="0" w:type="dxa"/>
            <w:left w:w="0" w:type="dxa"/>
            <w:bottom w:w="0" w:type="dxa"/>
            <w:right w:w="0" w:type="dxa"/>
          </w:tblCellMar>
        </w:tblPrEx>
        <w:trPr>
          <w:trHeight w:val="3038"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5681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2</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5103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特种设备事故调查处理。</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2E0A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1.迅速响应事故报告，第一时间抵达事故现场，保护现场完整，开展细致勘查，留存影像、物证等关键资料；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2.全面深入调查，访谈涉事人员，查阅运行记录、维护档案等资料，借助专业检测、技术鉴定等手段，精准剖析事故原因；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3.依据法律法规和调查结果，科学判定事故性质，明确划分责任，对责任单位和个人提出处理意见；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4.系统总结事故教训，形成详实调查报告，向社会和行业通报，提出针对性强的安全防范和整改建议，督促相关单位落实。</w:t>
            </w:r>
          </w:p>
        </w:tc>
      </w:tr>
      <w:tr w14:paraId="263C9F73">
        <w:tblPrEx>
          <w:tblCellMar>
            <w:top w:w="0" w:type="dxa"/>
            <w:left w:w="0" w:type="dxa"/>
            <w:bottom w:w="0" w:type="dxa"/>
            <w:right w:w="0" w:type="dxa"/>
          </w:tblCellMar>
        </w:tblPrEx>
        <w:trPr>
          <w:trHeight w:val="315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539B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3</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27FE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特种设备事故应急处置。</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605A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1.结合地区实际，制定特种设备的应急预案，明确应急组织机构、职责分工、响应程序等关键内容，并定期修订完善；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2.组织并督促实施应急演练，提升部门协同、人员实操能力，确保在事故发生时，能快速反应，高效调配应急救援资源；</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3.事故发生后，立即启动应急响应，组织专业救援力量抢险救援，同时做好现场警戒、人员疏散等工作，防止次生灾害；</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4.及时、准确发布事故信息，回应社会关切，做好舆论引导，事故结束后，对处置过程复盘评估，改进不足。</w:t>
            </w:r>
          </w:p>
        </w:tc>
      </w:tr>
      <w:tr w14:paraId="16B31B40">
        <w:tblPrEx>
          <w:tblCellMar>
            <w:top w:w="0" w:type="dxa"/>
            <w:left w:w="0" w:type="dxa"/>
            <w:bottom w:w="0" w:type="dxa"/>
            <w:right w:w="0" w:type="dxa"/>
          </w:tblCellMar>
        </w:tblPrEx>
        <w:trPr>
          <w:trHeight w:val="250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6411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4</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EE2D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特种设备安全监督检查。</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CE96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1.科学编制监督检查计划，综合考虑特种设备数量、分布、使用频率等因素，确定检查重点、范围和周期；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2.详细检查使用单位安全管理情况，包括安全管理制度建立与执行、安全管理人员配备与履职、应急救援预案制定与演练等；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3.严格核查特种设备本身状况，如是否办理使用登记、是否在检验有效期内、安全附件和保护装置是否灵敏可靠、运行参数是否正常等；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4.依法依规查处违规行为，对存在安全隐患的单位下达特种设备安全监察指令，跟踪整改落实情况，对拒不整改或整改不到位的实施行政处罚。</w:t>
            </w:r>
          </w:p>
        </w:tc>
      </w:tr>
      <w:tr w14:paraId="52D1A730">
        <w:tblPrEx>
          <w:tblCellMar>
            <w:top w:w="0" w:type="dxa"/>
            <w:left w:w="0" w:type="dxa"/>
            <w:bottom w:w="0" w:type="dxa"/>
            <w:right w:w="0" w:type="dxa"/>
          </w:tblCellMar>
        </w:tblPrEx>
        <w:trPr>
          <w:trHeight w:val="212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E875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5</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E237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电梯安全监督检查。</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160E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1.按照规定频次对辖区内各类电梯开展现场检查；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2.检查电梯维保单位维保工作质量，包括维保计划执行、维保记录规范、故障处理及时性等方面；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3.督促电梯使用单位落实安全管理主体责任，如落实“日管控、周排查、月调度”工作制度情况、设置安全管理机构或人员、建立安全技术档案等；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4.及时处理电梯相关投诉举报，快速组织调查核实，对存在问题的电梯依法采取停止使用等措施，消除安全隐患。</w:t>
            </w:r>
          </w:p>
        </w:tc>
      </w:tr>
      <w:tr w14:paraId="3A4DA617">
        <w:tblPrEx>
          <w:tblCellMar>
            <w:top w:w="0" w:type="dxa"/>
            <w:left w:w="0" w:type="dxa"/>
            <w:bottom w:w="0" w:type="dxa"/>
            <w:right w:w="0" w:type="dxa"/>
          </w:tblCellMar>
        </w:tblPrEx>
        <w:trPr>
          <w:trHeight w:val="13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CAF8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6</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F8DF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危险化学品领域安全检查。</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4A3A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1.结合实际情况，制定对各重点行业领域的安全隐患排查的方案；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2.联合有关部门对各个领域进行安全隐患排查工作，并做好相关检查台账；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3.对检查出的安全隐患问题进行整改。</w:t>
            </w:r>
          </w:p>
        </w:tc>
      </w:tr>
      <w:tr w14:paraId="4650612F">
        <w:tblPrEx>
          <w:tblCellMar>
            <w:top w:w="0" w:type="dxa"/>
            <w:left w:w="0" w:type="dxa"/>
            <w:bottom w:w="0" w:type="dxa"/>
            <w:right w:w="0" w:type="dxa"/>
          </w:tblCellMar>
        </w:tblPrEx>
        <w:trPr>
          <w:trHeight w:val="13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FD68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7</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AB6D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烟花爆竹经营企业的安全监督检查。</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7AA8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1.结合实际情况，制定安全隐患排查的方案；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2.联合有关部门进行安全隐患排查工作，并做好相关检查台账；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3.对检查出的安全隐患问题进行整改。</w:t>
            </w:r>
          </w:p>
        </w:tc>
      </w:tr>
      <w:tr w14:paraId="28AD25EA">
        <w:tblPrEx>
          <w:tblCellMar>
            <w:top w:w="0" w:type="dxa"/>
            <w:left w:w="0" w:type="dxa"/>
            <w:bottom w:w="0" w:type="dxa"/>
            <w:right w:w="0" w:type="dxa"/>
          </w:tblCellMar>
        </w:tblPrEx>
        <w:trPr>
          <w:trHeight w:val="652" w:hRule="atLeast"/>
          <w:jc w:val="center"/>
        </w:trPr>
        <w:tc>
          <w:tcPr>
            <w:tcW w:w="153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14B5B">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三、乡村振兴（</w:t>
            </w:r>
            <w:r>
              <w:rPr>
                <w:rFonts w:hint="default" w:ascii="黑体" w:hAnsi="宋体" w:eastAsia="黑体" w:cs="黑体"/>
                <w:i w:val="0"/>
                <w:color w:val="000000"/>
                <w:kern w:val="0"/>
                <w:sz w:val="32"/>
                <w:szCs w:val="32"/>
                <w:u w:val="none"/>
                <w:lang w:val="en-US" w:eastAsia="zh-CN" w:bidi="ar"/>
              </w:rPr>
              <w:t>8</w:t>
            </w:r>
            <w:r>
              <w:rPr>
                <w:rFonts w:hint="eastAsia" w:ascii="黑体" w:hAnsi="宋体" w:eastAsia="黑体" w:cs="黑体"/>
                <w:i w:val="0"/>
                <w:color w:val="000000"/>
                <w:kern w:val="0"/>
                <w:sz w:val="32"/>
                <w:szCs w:val="32"/>
                <w:u w:val="none"/>
                <w:lang w:val="en-US" w:eastAsia="zh-CN" w:bidi="ar"/>
              </w:rPr>
              <w:t>项）</w:t>
            </w:r>
          </w:p>
        </w:tc>
      </w:tr>
      <w:tr w14:paraId="2E7B65FA">
        <w:tblPrEx>
          <w:tblCellMar>
            <w:top w:w="0" w:type="dxa"/>
            <w:left w:w="0" w:type="dxa"/>
            <w:bottom w:w="0" w:type="dxa"/>
            <w:right w:w="0" w:type="dxa"/>
          </w:tblCellMar>
        </w:tblPrEx>
        <w:trPr>
          <w:trHeight w:val="17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6233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8</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1AAB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设施农业用地备案。</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D2B6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1.由用地主体提出设施用地申请；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2.对选址情况进行审核；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3.告知申请人设施用地办理情况；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4.核对资料后出具备案意见。</w:t>
            </w:r>
          </w:p>
        </w:tc>
      </w:tr>
      <w:tr w14:paraId="5DE992DC">
        <w:tblPrEx>
          <w:tblCellMar>
            <w:top w:w="0" w:type="dxa"/>
            <w:left w:w="0" w:type="dxa"/>
            <w:bottom w:w="0" w:type="dxa"/>
            <w:right w:w="0" w:type="dxa"/>
          </w:tblCellMar>
        </w:tblPrEx>
        <w:trPr>
          <w:trHeight w:val="17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6CF2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19</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0B3B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农药日常监管及生产经营存在问题的处置。</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47C3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1.完善监管制度和机制；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2.对辖区内的农药生产和经营单位进行定期和不定期的监督检查，确保农药的生产经营活动符合相关法律法规的要求；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3.对农药生产经营单位存在违法违规行为依法进行查处；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4.开展农药安全宣传和培训，提高农药生产经营者和使用者的安全意识和法律意识。</w:t>
            </w:r>
          </w:p>
        </w:tc>
      </w:tr>
      <w:tr w14:paraId="240A027B">
        <w:tblPrEx>
          <w:tblCellMar>
            <w:top w:w="0" w:type="dxa"/>
            <w:left w:w="0" w:type="dxa"/>
            <w:bottom w:w="0" w:type="dxa"/>
            <w:right w:w="0" w:type="dxa"/>
          </w:tblCellMar>
        </w:tblPrEx>
        <w:trPr>
          <w:trHeight w:val="17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508F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0</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2769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肥料日常监管及生产经营存在问题的处置。</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C664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1.完善监管制度和机制；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2.对辖区内的肥料生产和经营单位进行定期和不定期的监督检查，确保肥料的生产经营活动符合相关法律法规的要求；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3.对肥料生产经营单位存在违法违规行为依法进行查处；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4.开展肥料安全宣传和培训，提高肥料生产经营者和使用者的安全意识和法律意识。</w:t>
            </w:r>
          </w:p>
        </w:tc>
      </w:tr>
      <w:tr w14:paraId="0C7624D8">
        <w:tblPrEx>
          <w:tblCellMar>
            <w:top w:w="0" w:type="dxa"/>
            <w:left w:w="0" w:type="dxa"/>
            <w:bottom w:w="0" w:type="dxa"/>
            <w:right w:w="0" w:type="dxa"/>
          </w:tblCellMar>
        </w:tblPrEx>
        <w:trPr>
          <w:trHeight w:val="390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8651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1</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9FEC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开展种子执法监督，依法惩处侵害种子使用者、生产经营者权益和侵犯植物新品种权的违法行为。</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C544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一、行政执法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1.进入种子生产、经营、使用等场所进行现场检查，了解种子的生产、质量、销售等情况；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2.对涉嫌违法违规的种子进行抽样检查，包括种子的品种、质量、标签、包装等；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3.对相关人员进行询问，调查种子的来源、去向、销售情况等，以获取必要的证据；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4.查阅、复制与种子生产、经营、使用等相关的资料，如生产记录、销售台账、质量检验报告等；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5.查封、扣押有证据证明违法生产经营的种子，以及用于违法生产经营的工具、设备及运输工具等；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6.对于发现的违法违规行为，责令相关单位或个人立即整改，消除违法状态；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7.对于拒不整改或整改不到位的，依法进行处罚，包括警告、罚款、吊销许可证等。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二、处理侵权纠纷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1.接受种子使用者、生产经营者及植物新品种权所有人的投诉，对侵犯其合法权益的行为进行调查处理；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2.在双方当事人自愿的基础上，对侵犯植物新品种权所造成的损害赔偿进行调解；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3.对于侵犯植物新品种权的行为，责令侵权人停止侵权行为，没收违法所得和种子，并依法进行罚款。</w:t>
            </w:r>
          </w:p>
        </w:tc>
      </w:tr>
      <w:tr w14:paraId="69DE0441">
        <w:tblPrEx>
          <w:shd w:val="clear" w:color="auto" w:fill="auto"/>
          <w:tblCellMar>
            <w:top w:w="0" w:type="dxa"/>
            <w:left w:w="0" w:type="dxa"/>
            <w:bottom w:w="0" w:type="dxa"/>
            <w:right w:w="0" w:type="dxa"/>
          </w:tblCellMar>
        </w:tblPrEx>
        <w:trPr>
          <w:trHeight w:val="182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9AD2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2</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AD7B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bookmarkStart w:id="0" w:name="_GoBack"/>
            <w:r>
              <w:rPr>
                <w:rFonts w:hint="eastAsia" w:ascii="仿宋_GB2312" w:hAnsi="宋体" w:eastAsia="仿宋_GB2312" w:cs="仿宋_GB2312"/>
                <w:i w:val="0"/>
                <w:color w:val="000000"/>
                <w:kern w:val="0"/>
                <w:sz w:val="24"/>
                <w:szCs w:val="24"/>
                <w:u w:val="none"/>
                <w:lang w:val="en-US" w:eastAsia="zh-CN" w:bidi="ar"/>
              </w:rPr>
              <w:t>日常</w:t>
            </w:r>
            <w:bookmarkEnd w:id="0"/>
            <w:r>
              <w:rPr>
                <w:rFonts w:hint="eastAsia" w:ascii="仿宋_GB2312" w:hAnsi="宋体" w:eastAsia="仿宋_GB2312" w:cs="仿宋_GB2312"/>
                <w:i w:val="0"/>
                <w:color w:val="000000"/>
                <w:kern w:val="0"/>
                <w:sz w:val="24"/>
                <w:szCs w:val="24"/>
                <w:u w:val="none"/>
                <w:lang w:val="en-US" w:eastAsia="zh-CN" w:bidi="ar"/>
              </w:rPr>
              <w:t>动物疫情信息采集。</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7B44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1.收集相关动物的病历记录，包括发病时间、症状、诊断结果等，以及疫病在动物群体中的传播情况；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2.对疫情发生地进行实地观察，记录动物的行为、体征等异常情况；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3.根据不同动物种类和采样需求，选择合适的采样方法采集样品；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4.在确认疫情后，及时向公众发布疫情信息，包括疫情类型、发生地、影响范围等；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5.加强疫情知识的宣传和教育，提高公众对动物疫情的认识和防范意识。</w:t>
            </w:r>
          </w:p>
        </w:tc>
      </w:tr>
      <w:tr w14:paraId="62DCB4E0">
        <w:tblPrEx>
          <w:tblCellMar>
            <w:top w:w="0" w:type="dxa"/>
            <w:left w:w="0" w:type="dxa"/>
            <w:bottom w:w="0" w:type="dxa"/>
            <w:right w:w="0" w:type="dxa"/>
          </w:tblCellMar>
        </w:tblPrEx>
        <w:trPr>
          <w:trHeight w:val="100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911E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3</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0804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动物检疫。</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FE1E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1.开展动物检疫工作；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2.开展检疫监管工作。</w:t>
            </w:r>
          </w:p>
        </w:tc>
      </w:tr>
      <w:tr w14:paraId="11848A90">
        <w:tblPrEx>
          <w:tblCellMar>
            <w:top w:w="0" w:type="dxa"/>
            <w:left w:w="0" w:type="dxa"/>
            <w:bottom w:w="0" w:type="dxa"/>
            <w:right w:w="0" w:type="dxa"/>
          </w:tblCellMar>
        </w:tblPrEx>
        <w:trPr>
          <w:trHeight w:val="12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3FCF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4</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90C4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屠宰检疫。</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F232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1.负责动物屠宰相关活动的监督管理工作；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2.负责对屠宰动物、动物产品实施检疫；检疫合格的，出具检疫证明、加施检疫标志；</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3.建立定点屠宰厂（场）信用档案，记录日常监督检查等情况。</w:t>
            </w:r>
          </w:p>
        </w:tc>
      </w:tr>
      <w:tr w14:paraId="25643BDA">
        <w:tblPrEx>
          <w:tblCellMar>
            <w:top w:w="0" w:type="dxa"/>
            <w:left w:w="0" w:type="dxa"/>
            <w:bottom w:w="0" w:type="dxa"/>
            <w:right w:w="0" w:type="dxa"/>
          </w:tblCellMar>
        </w:tblPrEx>
        <w:trPr>
          <w:trHeight w:val="16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0CEF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5</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193E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管辖水库的降等、报废和安全管理工作。</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C737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1.负责对所管辖的水库进行监督检查；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2.对需要降等、报废的水库进行论证；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3.根据审批权限审批；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4.负责对审批后降等、报废的水库实施各项措施。</w:t>
            </w:r>
          </w:p>
        </w:tc>
      </w:tr>
      <w:tr w14:paraId="04F37B26">
        <w:tblPrEx>
          <w:tblCellMar>
            <w:top w:w="0" w:type="dxa"/>
            <w:left w:w="0" w:type="dxa"/>
            <w:bottom w:w="0" w:type="dxa"/>
            <w:right w:w="0" w:type="dxa"/>
          </w:tblCellMar>
        </w:tblPrEx>
        <w:trPr>
          <w:trHeight w:val="600" w:hRule="atLeast"/>
          <w:jc w:val="center"/>
        </w:trPr>
        <w:tc>
          <w:tcPr>
            <w:tcW w:w="153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D085B">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四、城乡建设（</w:t>
            </w:r>
            <w:r>
              <w:rPr>
                <w:rFonts w:hint="default" w:ascii="黑体" w:hAnsi="宋体" w:eastAsia="黑体" w:cs="黑体"/>
                <w:i w:val="0"/>
                <w:color w:val="000000"/>
                <w:kern w:val="0"/>
                <w:sz w:val="32"/>
                <w:szCs w:val="32"/>
                <w:u w:val="none"/>
                <w:lang w:val="en-US" w:eastAsia="zh-CN" w:bidi="ar"/>
              </w:rPr>
              <w:t>20</w:t>
            </w:r>
            <w:r>
              <w:rPr>
                <w:rFonts w:hint="eastAsia" w:ascii="黑体" w:hAnsi="宋体" w:eastAsia="黑体" w:cs="黑体"/>
                <w:i w:val="0"/>
                <w:color w:val="000000"/>
                <w:kern w:val="0"/>
                <w:sz w:val="32"/>
                <w:szCs w:val="32"/>
                <w:u w:val="none"/>
                <w:lang w:val="en-US" w:eastAsia="zh-CN" w:bidi="ar"/>
              </w:rPr>
              <w:t>项）</w:t>
            </w:r>
          </w:p>
        </w:tc>
      </w:tr>
      <w:tr w14:paraId="6F66A715">
        <w:tblPrEx>
          <w:tblCellMar>
            <w:top w:w="0" w:type="dxa"/>
            <w:left w:w="0" w:type="dxa"/>
            <w:bottom w:w="0" w:type="dxa"/>
            <w:right w:w="0" w:type="dxa"/>
          </w:tblCellMar>
        </w:tblPrEx>
        <w:trPr>
          <w:trHeight w:val="17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B8FB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6</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8405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辖区乡道、村道建设工作。</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BB94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1.负责加强乡道村道的日常建设及项目建设计划上报、资金争取、手续办理等；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2.负责公路病害的巡查、发现、报告、处置及修复工作；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3.负责对镇上报的安全隐患的路段组织相关单位进行实地调查了解情况，对确需整改的路段进行施工设计并组织施工整改；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4.负责修复工程的施工、质量监督及验收工作。</w:t>
            </w:r>
          </w:p>
        </w:tc>
      </w:tr>
      <w:tr w14:paraId="753A5507">
        <w:tblPrEx>
          <w:tblCellMar>
            <w:top w:w="0" w:type="dxa"/>
            <w:left w:w="0" w:type="dxa"/>
            <w:bottom w:w="0" w:type="dxa"/>
            <w:right w:w="0" w:type="dxa"/>
          </w:tblCellMar>
        </w:tblPrEx>
        <w:trPr>
          <w:trHeight w:val="19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9AAA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7</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5F36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开展宅基地使用权及房屋所有权登记。</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AD67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1.明确申请条件与主体；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2.提供申请材料清单；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3.规范办理流程；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4.优化服务方式；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5.加强监管与指导。</w:t>
            </w:r>
          </w:p>
        </w:tc>
      </w:tr>
      <w:tr w14:paraId="2BBB5B1C">
        <w:tblPrEx>
          <w:tblCellMar>
            <w:top w:w="0" w:type="dxa"/>
            <w:left w:w="0" w:type="dxa"/>
            <w:bottom w:w="0" w:type="dxa"/>
            <w:right w:w="0" w:type="dxa"/>
          </w:tblCellMar>
        </w:tblPrEx>
        <w:trPr>
          <w:trHeight w:val="282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07E3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8</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7456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*对未在城市道路施工现场设置明显标志和安全防围设施的处罚。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ACF8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FA83F92">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D35D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29</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12F3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*对依附于城市道路建设各种管线、杆线等设施，不按照规定办理批准手续的处罚。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837A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8CEEC21">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E9C4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0</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9CF1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*对在城市建筑物、设施以及树木上涂写、刻画或者未经批准张挂、张贴宣传品等的处罚。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27EF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70FDB1C">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2401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1</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2A31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*对物业服务企业将一个物业管理区域内的全部物业管理一并委托给他人的处罚。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EEB5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7F11D8F">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BBCA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2</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00C5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*对未经业主大会同意，物业服务企业擅自改变物业管理用房的用途的处罚。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A168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A794C43">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257C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3</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CB41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*对擅自改变物业管理区域内按照规划建设的公共建筑和共用设施用途的处罚。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B75A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6B8DC39">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B274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4</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6D8F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*对擅自占用、挖掘物业管理区域内道路、场地，损害业主共同利益的处罚。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A9BC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5A0696B">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8B44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5</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3794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*对擅自利用物业共用部位、共用设施设备进行经营的处罚。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B143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51F3B9F">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78E6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6</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4283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*对建设单位、物业服务企业不移交有关物业管理资料的处罚。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2E77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5DF8458">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2DE0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7</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C425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*对占用城市道路期满或者挖掘城市道路后，不及时清理现场的处罚。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143C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E1D5A3E">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E0B5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8</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D9E5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*对紧急抢修埋设在城市道路下的管线，不按照规定补办批准手续的处罚。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E180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DF45EB7">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BEAB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39</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A4F5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*未对设在城市道路上的各种管线的检查井、箱盖或者城市道路附属设施的缺损及时补缺或者修复的处罚。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6C45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4AC90C5">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41DF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0</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F39E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*对未按照批准的位置、面积、期限占用或者挖掘城市道路，或者需要移动位置、扩大面积、延长时间的，未提前办理变更审批手续的处罚。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692A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1EA1C4F">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06FA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1</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9D03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*对在城市人民政府规定的街道的临街建筑物的阳台和窗外，堆放、吊挂有碍市容的物品的处罚。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A965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55970A0">
        <w:tblPrEx>
          <w:tblCellMar>
            <w:top w:w="0" w:type="dxa"/>
            <w:left w:w="0" w:type="dxa"/>
            <w:bottom w:w="0" w:type="dxa"/>
            <w:right w:w="0" w:type="dxa"/>
          </w:tblCellMar>
        </w:tblPrEx>
        <w:trPr>
          <w:trHeight w:val="29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2BDF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2</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50A2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*对临街工地不设置护栏或者不作遮挡、停工场地不及时整理并作必要覆盖或者竣工后不及时清理和平整场地，影响市容和环境卫生的处罚。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7AB3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0EFD75A">
        <w:tblPrEx>
          <w:tblCellMar>
            <w:top w:w="0" w:type="dxa"/>
            <w:left w:w="0" w:type="dxa"/>
            <w:bottom w:w="0" w:type="dxa"/>
            <w:right w:w="0" w:type="dxa"/>
          </w:tblCellMar>
        </w:tblPrEx>
        <w:trPr>
          <w:trHeight w:val="32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2E9D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3</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0B3D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*对擅自设置大型户外广告标牌设施，影响市容的处罚。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143D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C8B052D">
        <w:tblPrEx>
          <w:tblCellMar>
            <w:top w:w="0" w:type="dxa"/>
            <w:left w:w="0" w:type="dxa"/>
            <w:bottom w:w="0" w:type="dxa"/>
            <w:right w:w="0" w:type="dxa"/>
          </w:tblCellMar>
        </w:tblPrEx>
        <w:trPr>
          <w:trHeight w:val="32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DFC7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4</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B013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*对擅自在街道两侧和公共场地堆放物料，搭建建筑物、构筑物或者其他设施，影响市容的处罚。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57C5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1023B90">
        <w:tblPrEx>
          <w:tblCellMar>
            <w:top w:w="0" w:type="dxa"/>
            <w:left w:w="0" w:type="dxa"/>
            <w:bottom w:w="0" w:type="dxa"/>
            <w:right w:w="0" w:type="dxa"/>
          </w:tblCellMar>
        </w:tblPrEx>
        <w:trPr>
          <w:trHeight w:val="32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80F9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5</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F3E1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*对擅自停止使用取退水计量设施的处罚。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3611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651BDC0">
        <w:tblPrEx>
          <w:tblCellMar>
            <w:top w:w="0" w:type="dxa"/>
            <w:left w:w="0" w:type="dxa"/>
            <w:bottom w:w="0" w:type="dxa"/>
            <w:right w:w="0" w:type="dxa"/>
          </w:tblCellMar>
        </w:tblPrEx>
        <w:trPr>
          <w:trHeight w:val="760" w:hRule="atLeast"/>
          <w:jc w:val="center"/>
        </w:trPr>
        <w:tc>
          <w:tcPr>
            <w:tcW w:w="153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0DFC3">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五、生态环保（</w:t>
            </w:r>
            <w:r>
              <w:rPr>
                <w:rFonts w:hint="default" w:ascii="黑体" w:hAnsi="宋体" w:eastAsia="黑体" w:cs="黑体"/>
                <w:i w:val="0"/>
                <w:color w:val="000000"/>
                <w:kern w:val="0"/>
                <w:sz w:val="32"/>
                <w:szCs w:val="32"/>
                <w:u w:val="none"/>
                <w:lang w:val="en-US" w:eastAsia="zh-CN" w:bidi="ar"/>
              </w:rPr>
              <w:t>19</w:t>
            </w:r>
            <w:r>
              <w:rPr>
                <w:rFonts w:hint="eastAsia" w:ascii="黑体" w:hAnsi="宋体" w:eastAsia="黑体" w:cs="黑体"/>
                <w:i w:val="0"/>
                <w:color w:val="000000"/>
                <w:kern w:val="0"/>
                <w:sz w:val="32"/>
                <w:szCs w:val="32"/>
                <w:u w:val="none"/>
                <w:lang w:val="en-US" w:eastAsia="zh-CN" w:bidi="ar"/>
              </w:rPr>
              <w:t>项）</w:t>
            </w:r>
          </w:p>
        </w:tc>
      </w:tr>
      <w:tr w14:paraId="24A86530">
        <w:tblPrEx>
          <w:tblCellMar>
            <w:top w:w="0" w:type="dxa"/>
            <w:left w:w="0" w:type="dxa"/>
            <w:bottom w:w="0" w:type="dxa"/>
            <w:right w:w="0" w:type="dxa"/>
          </w:tblCellMar>
        </w:tblPrEx>
        <w:trPr>
          <w:trHeight w:val="102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6384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6</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3287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土地卫片疑似违法违规图斑的核查。</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C48B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1.接收上级下发的图斑数据；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2.开展外业核查及内业填报工作。</w:t>
            </w:r>
          </w:p>
        </w:tc>
      </w:tr>
      <w:tr w14:paraId="0B0078EE">
        <w:tblPrEx>
          <w:tblCellMar>
            <w:top w:w="0" w:type="dxa"/>
            <w:left w:w="0" w:type="dxa"/>
            <w:bottom w:w="0" w:type="dxa"/>
            <w:right w:w="0" w:type="dxa"/>
          </w:tblCellMar>
        </w:tblPrEx>
        <w:trPr>
          <w:trHeight w:val="362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4000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7</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BB09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对禁牧区违规搭建圈舍的拆除。</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391E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1.通过日常巡查、群众举报、卫星遥感监测等多种方式，发现在禁牧区违规搭建圈舍问题；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2.对违规搭建圈舍的情况进行调查取证，包括现场勘察、拍照、测量、询问当事人等，获取圈舍的位置、面积、结构、建造时间、用途以及当事人的基本信息等证据，并制作相关笔录和勘察报告；</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3.依据《中华人民共和国草原法》《内蒙古自治区草畜平衡和禁牧休牧条例》《内蒙古自治区基本草原保护条例》等相关法律法规，对所调查的圈舍是否属于违法建筑进行认定；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4.经认定为违法建筑后，出具《责令限期拆除违法建筑决定书》，明确告知当事人违法行为，要求其在规定的期限内自行拆除；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5.将《责令限期拆除决定书》依法送达当事人，并由接收人签字确认；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6.逾期未拆除的，作出强制拆除决定，并进行强制拆除；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7.拆除完成后，对拆除现场进行清理和检查，防止出现安全隐患；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8.加强对禁牧区的后续监管，防止类似的违规搭建行为再次发生。</w:t>
            </w:r>
          </w:p>
        </w:tc>
      </w:tr>
      <w:tr w14:paraId="5EF55405">
        <w:tblPrEx>
          <w:shd w:val="clear" w:color="auto" w:fill="auto"/>
          <w:tblCellMar>
            <w:top w:w="0" w:type="dxa"/>
            <w:left w:w="0" w:type="dxa"/>
            <w:bottom w:w="0" w:type="dxa"/>
            <w:right w:w="0" w:type="dxa"/>
          </w:tblCellMar>
        </w:tblPrEx>
        <w:trPr>
          <w:trHeight w:val="308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EDF4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8</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C951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*责令农村村民退还未经批准或者采取欺骗手段骗取批准，非法占用土地建住宅的土地，并责令拆除非法占用土地上新建的房屋。</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67DA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C5C3361">
        <w:tblPrEx>
          <w:tblCellMar>
            <w:top w:w="0" w:type="dxa"/>
            <w:left w:w="0" w:type="dxa"/>
            <w:bottom w:w="0" w:type="dxa"/>
            <w:right w:w="0" w:type="dxa"/>
          </w:tblCellMar>
        </w:tblPrEx>
        <w:trPr>
          <w:trHeight w:val="30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525E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49</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9D41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*对擅自在草原上开展经营性旅游活动，破坏草原植被的处罚。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71FE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2E828F5">
        <w:tblPrEx>
          <w:tblCellMar>
            <w:top w:w="0" w:type="dxa"/>
            <w:left w:w="0" w:type="dxa"/>
            <w:bottom w:w="0" w:type="dxa"/>
            <w:right w:w="0" w:type="dxa"/>
          </w:tblCellMar>
        </w:tblPrEx>
        <w:trPr>
          <w:trHeight w:val="30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583E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0</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B0C0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*对买卖或者以其他形式非法转让草原的处罚。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587C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DEFFD48">
        <w:tblPrEx>
          <w:tblCellMar>
            <w:top w:w="0" w:type="dxa"/>
            <w:left w:w="0" w:type="dxa"/>
            <w:bottom w:w="0" w:type="dxa"/>
            <w:right w:w="0" w:type="dxa"/>
          </w:tblCellMar>
        </w:tblPrEx>
        <w:trPr>
          <w:trHeight w:val="30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5370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1</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65E4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*对机动车辆未经批准离开道路在草原上行驶或者未按照确认的行驶区域和行驶路线在草原上行驶，破坏草原植被的处罚。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06AA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F34DAA6">
        <w:tblPrEx>
          <w:tblCellMar>
            <w:top w:w="0" w:type="dxa"/>
            <w:left w:w="0" w:type="dxa"/>
            <w:bottom w:w="0" w:type="dxa"/>
            <w:right w:w="0" w:type="dxa"/>
          </w:tblCellMar>
        </w:tblPrEx>
        <w:trPr>
          <w:trHeight w:val="30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2D5A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2</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77FA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*对草原围栏建设中因阻断道路对草原造成碾压破坏的处罚。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997C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2646B02">
        <w:tblPrEx>
          <w:tblCellMar>
            <w:top w:w="0" w:type="dxa"/>
            <w:left w:w="0" w:type="dxa"/>
            <w:bottom w:w="0" w:type="dxa"/>
            <w:right w:w="0" w:type="dxa"/>
          </w:tblCellMar>
        </w:tblPrEx>
        <w:trPr>
          <w:trHeight w:val="30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7D0F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3</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A3F7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*对围湖造地或者未经批准围垦河道的处罚。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E4BF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3FFCFD7">
        <w:tblPrEx>
          <w:tblCellMar>
            <w:top w:w="0" w:type="dxa"/>
            <w:left w:w="0" w:type="dxa"/>
            <w:bottom w:w="0" w:type="dxa"/>
            <w:right w:w="0" w:type="dxa"/>
          </w:tblCellMar>
        </w:tblPrEx>
        <w:trPr>
          <w:trHeight w:val="306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2EBF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4</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0A04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*对在崩塌、滑坡危险区或者泥石流易发区从事取土、挖砂、采石等可能造成水土流失的活动的处罚。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EF01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B6E1FF3">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2083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5</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BDCD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*对在江河、湖泊、水库、运河、渠道内弃置、堆放阻碍行洪的物体和种植阻碍行洪的林木及高秆作物的处罚。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5C51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6B625E5">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F1C2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6</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E742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*对采集发菜，或者在水土流失重点预防区和重点治理区铲草皮、挖树兜、滥挖虫草、甘草、麻黄等的处罚。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3200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072EE48">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185A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7</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ACDE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*对开办生产建设项目或者从事其他生产建设活动造成水土流失不进行治理的处置。</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9497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D5735A9">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4B25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8</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CED9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*对在堤防安全保护区内进行打井、钻探、爆破、挖筑鱼塘、采石、取土等危害堤防安全的活动的处罚。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0571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778FAFC">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AD01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59</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4970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*对河道、湖泊管理范围内建设妨碍行洪的建筑物、构筑物的处罚。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10FD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011372E">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7C3A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0</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F7BF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*对在河道、湖泊管理范围内倾倒垃圾、渣土，从事影响河势稳定、危害河岸堤防安全和其他妨碍河道行洪的活动的处罚。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8A76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8DCC88E">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C0AB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1</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C238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*对在水土保持方案确定的专门存放地以外的区域倾倒砂、石、土、矸石、尾矿、废渣等的处罚。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73D3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1ADDFE89">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338C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2</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ABA6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*对在禁止开垦坡度以上陡坡地开垦种植农作物，或者在禁止开垦，开发的植物保护带内开垦、开发的处罚。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657F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00EFDDB">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6EA7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3</w:t>
            </w:r>
          </w:p>
        </w:tc>
        <w:tc>
          <w:tcPr>
            <w:tcW w:w="4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9445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*对在堤防、护堤地建房、放牧、开渠、打井、挖窖、葬坟、晒粮、存放物料、开采地下资源、进行考古发掘以及开展集市贸易活动的处罚。</w:t>
            </w:r>
          </w:p>
        </w:tc>
        <w:tc>
          <w:tcPr>
            <w:tcW w:w="10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CF8D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35CCFB2">
        <w:tblPrEx>
          <w:tblCellMar>
            <w:top w:w="0" w:type="dxa"/>
            <w:left w:w="0" w:type="dxa"/>
            <w:bottom w:w="0" w:type="dxa"/>
            <w:right w:w="0" w:type="dxa"/>
          </w:tblCellMar>
        </w:tblPrEx>
        <w:trPr>
          <w:trHeight w:val="3040" w:hRule="atLeast"/>
          <w:jc w:val="center"/>
        </w:trPr>
        <w:tc>
          <w:tcPr>
            <w:tcW w:w="102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14:paraId="5532744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4</w:t>
            </w:r>
          </w:p>
        </w:tc>
        <w:tc>
          <w:tcPr>
            <w:tcW w:w="425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8ED0C0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*对在河道管理范围内弃置、堆放阻碍行洪物体的；种植阻碍行洪的林木或者高杆植物的；修建围堤、阻水渠道、阻水道路的处罚。</w:t>
            </w:r>
          </w:p>
        </w:tc>
        <w:tc>
          <w:tcPr>
            <w:tcW w:w="100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75668D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46A4B24">
        <w:tblPrEx>
          <w:tblCellMar>
            <w:top w:w="0" w:type="dxa"/>
            <w:left w:w="0" w:type="dxa"/>
            <w:bottom w:w="0" w:type="dxa"/>
            <w:right w:w="0" w:type="dxa"/>
          </w:tblCellMar>
        </w:tblPrEx>
        <w:trPr>
          <w:trHeight w:val="831" w:hRule="atLeast"/>
          <w:jc w:val="center"/>
        </w:trPr>
        <w:tc>
          <w:tcPr>
            <w:tcW w:w="153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2EBD9">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注：1.根据清单工作整体部署将适时对清单内容进行修订。2.*标注事项为本镇所承担的执法事项。</w:t>
            </w:r>
          </w:p>
        </w:tc>
      </w:tr>
    </w:tbl>
    <w:p w14:paraId="2C6FB6E7"/>
    <w:sectPr>
      <w:pgSz w:w="16783" w:h="11850" w:orient="landscape"/>
      <w:pgMar w:top="720" w:right="720" w:bottom="720" w:left="720" w:header="851" w:footer="397"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DCB7EB2"/>
    <w:rsid w:val="15BB11DC"/>
    <w:rsid w:val="191F130E"/>
    <w:rsid w:val="2AFB40C3"/>
    <w:rsid w:val="2EFA77F9"/>
    <w:rsid w:val="2F964EF6"/>
    <w:rsid w:val="6DA716A1"/>
    <w:rsid w:val="75B51BDF"/>
    <w:rsid w:val="799A13E2"/>
    <w:rsid w:val="EDBD6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81"/>
    <w:basedOn w:val="5"/>
    <w:qFormat/>
    <w:uiPriority w:val="0"/>
    <w:rPr>
      <w:rFonts w:hint="eastAsia" w:ascii="仿宋_GB2312" w:eastAsia="仿宋_GB2312" w:cs="仿宋_GB2312"/>
      <w:color w:val="000000"/>
      <w:sz w:val="24"/>
      <w:szCs w:val="24"/>
      <w:u w:val="none"/>
    </w:rPr>
  </w:style>
  <w:style w:type="character" w:customStyle="1" w:styleId="7">
    <w:name w:val="font13"/>
    <w:basedOn w:val="5"/>
    <w:qFormat/>
    <w:uiPriority w:val="0"/>
    <w:rPr>
      <w:rFonts w:hint="eastAsia" w:ascii="仿宋_GB2312" w:eastAsia="仿宋_GB2312" w:cs="仿宋_GB2312"/>
      <w:color w:val="000000"/>
      <w:sz w:val="24"/>
      <w:szCs w:val="24"/>
      <w:u w:val="none"/>
    </w:rPr>
  </w:style>
  <w:style w:type="character" w:customStyle="1" w:styleId="8">
    <w:name w:val="font71"/>
    <w:basedOn w:val="5"/>
    <w:qFormat/>
    <w:uiPriority w:val="0"/>
    <w:rPr>
      <w:rFonts w:hint="eastAsia" w:ascii="仿宋_GB2312" w:eastAsia="仿宋_GB2312" w:cs="仿宋_GB2312"/>
      <w:color w:val="000000"/>
      <w:sz w:val="24"/>
      <w:szCs w:val="24"/>
      <w:u w:val="none"/>
    </w:rPr>
  </w:style>
  <w:style w:type="character" w:customStyle="1" w:styleId="9">
    <w:name w:val="font01"/>
    <w:basedOn w:val="5"/>
    <w:qFormat/>
    <w:uiPriority w:val="0"/>
    <w:rPr>
      <w:rFonts w:hint="eastAsia" w:ascii="仿宋_GB2312" w:eastAsia="仿宋_GB2312" w:cs="仿宋_GB2312"/>
      <w:color w:val="000000"/>
      <w:sz w:val="24"/>
      <w:szCs w:val="24"/>
      <w:u w:val="none"/>
    </w:rPr>
  </w:style>
  <w:style w:type="character" w:customStyle="1" w:styleId="10">
    <w:name w:val="font11"/>
    <w:basedOn w:val="5"/>
    <w:qFormat/>
    <w:uiPriority w:val="0"/>
    <w:rPr>
      <w:rFonts w:hint="eastAsia" w:ascii="仿宋_GB2312" w:eastAsia="仿宋_GB2312" w:cs="仿宋_GB2312"/>
      <w:color w:val="000000"/>
      <w:sz w:val="24"/>
      <w:szCs w:val="24"/>
      <w:u w:val="none"/>
    </w:rPr>
  </w:style>
  <w:style w:type="character" w:customStyle="1" w:styleId="11">
    <w:name w:val="font12"/>
    <w:basedOn w:val="5"/>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8456</Words>
  <Characters>8937</Characters>
  <Lines>0</Lines>
  <Paragraphs>0</Paragraphs>
  <TotalTime>0</TotalTime>
  <ScaleCrop>false</ScaleCrop>
  <LinksUpToDate>false</LinksUpToDate>
  <CharactersWithSpaces>8937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2025-08-25T16:54:00Z</dcterms:created>
  <dc:creator>Administrator</dc:creator>
  <cp:lastModifiedBy>馨琪若</cp:lastModifiedBy>
  <dcterms:modified xsi:type="dcterms:W3CDTF">2025-08-29T11:24:31Z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4B38B4B319C05CA2E461B168D3129E42_42</vt:lpwstr>
  </property>
  <property fmtid="{D5CDD505-2E9C-101B-9397-08002B2CF9AE}" pid="4" name="KSOTemplateDocerSaveRecord">
    <vt:lpwstr>eyJoZGlkIjoiNWU1Zjc0MWM0N2FlNTZiZTc0ODU3MTNmZDExYWY3MWUiLCJ1c2VySWQiOiI2Njc0MjUzNjkifQ==</vt:lpwstr>
  </property>
</Properties>
</file>