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9" w:type="pct"/>
        <w:tblInd w:w="0" w:type="dxa"/>
        <w:shd w:val="clear" w:color="auto" w:fill="auto"/>
        <w:tblLayout w:type="autofit"/>
        <w:tblCellMar>
          <w:top w:w="0" w:type="dxa"/>
          <w:left w:w="0" w:type="dxa"/>
          <w:bottom w:w="0" w:type="dxa"/>
          <w:right w:w="0" w:type="dxa"/>
        </w:tblCellMar>
      </w:tblPr>
      <w:tblGrid>
        <w:gridCol w:w="664"/>
        <w:gridCol w:w="3993"/>
        <w:gridCol w:w="10713"/>
      </w:tblGrid>
      <w:tr w14:paraId="63D70E26">
        <w:tblPrEx>
          <w:shd w:val="clear" w:color="auto" w:fill="auto"/>
          <w:tblCellMar>
            <w:top w:w="0" w:type="dxa"/>
            <w:left w:w="0" w:type="dxa"/>
            <w:bottom w:w="0" w:type="dxa"/>
            <w:right w:w="0" w:type="dxa"/>
          </w:tblCellMar>
        </w:tblPrEx>
        <w:trPr>
          <w:trHeight w:val="600" w:hRule="atLeast"/>
        </w:trPr>
        <w:tc>
          <w:tcPr>
            <w:tcW w:w="1515" w:type="pct"/>
            <w:gridSpan w:val="2"/>
            <w:tcBorders>
              <w:top w:val="nil"/>
              <w:left w:val="nil"/>
              <w:bottom w:val="nil"/>
              <w:right w:val="nil"/>
            </w:tcBorders>
            <w:shd w:val="clear" w:color="auto" w:fill="auto"/>
            <w:noWrap/>
            <w:tcMar>
              <w:top w:w="15" w:type="dxa"/>
              <w:left w:w="15" w:type="dxa"/>
              <w:right w:w="15" w:type="dxa"/>
            </w:tcMar>
            <w:vAlign w:val="center"/>
          </w:tcPr>
          <w:p w14:paraId="155E5368">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黑体" w:hAnsi="宋体" w:eastAsia="黑体" w:cs="黑体"/>
                <w:i w:val="0"/>
                <w:color w:val="auto"/>
                <w:sz w:val="32"/>
                <w:szCs w:val="32"/>
                <w:u w:val="none"/>
              </w:rPr>
            </w:pPr>
            <w:r>
              <w:rPr>
                <w:rFonts w:hint="eastAsia" w:ascii="黑体" w:hAnsi="宋体" w:eastAsia="黑体" w:cs="黑体"/>
                <w:i w:val="0"/>
                <w:color w:val="auto"/>
                <w:kern w:val="0"/>
                <w:sz w:val="32"/>
                <w:szCs w:val="32"/>
                <w:u w:val="none"/>
                <w:lang w:val="en-US" w:eastAsia="zh-CN" w:bidi="ar"/>
              </w:rPr>
              <w:t>附件3</w:t>
            </w:r>
          </w:p>
        </w:tc>
        <w:tc>
          <w:tcPr>
            <w:tcW w:w="3484" w:type="pct"/>
            <w:tcBorders>
              <w:top w:val="nil"/>
              <w:left w:val="nil"/>
              <w:bottom w:val="nil"/>
              <w:right w:val="nil"/>
            </w:tcBorders>
            <w:shd w:val="clear" w:color="auto" w:fill="auto"/>
            <w:noWrap/>
            <w:tcMar>
              <w:top w:w="15" w:type="dxa"/>
              <w:left w:w="15" w:type="dxa"/>
              <w:right w:w="15" w:type="dxa"/>
            </w:tcMar>
            <w:vAlign w:val="center"/>
          </w:tcPr>
          <w:p w14:paraId="655FB7C2">
            <w:pPr>
              <w:keepNext w:val="0"/>
              <w:keepLines w:val="0"/>
              <w:pageBreakBefore w:val="0"/>
              <w:kinsoku/>
              <w:wordWrap/>
              <w:overflowPunct/>
              <w:topLinePunct w:val="0"/>
              <w:autoSpaceDE/>
              <w:autoSpaceDN/>
              <w:bidi w:val="0"/>
              <w:adjustRightInd/>
              <w:snapToGrid/>
              <w:rPr>
                <w:rFonts w:hint="eastAsia" w:ascii="宋体" w:hAnsi="宋体" w:eastAsia="宋体" w:cs="宋体"/>
                <w:i w:val="0"/>
                <w:color w:val="auto"/>
                <w:sz w:val="22"/>
                <w:szCs w:val="22"/>
                <w:u w:val="none"/>
              </w:rPr>
            </w:pPr>
          </w:p>
        </w:tc>
      </w:tr>
      <w:tr w14:paraId="615064D6">
        <w:tblPrEx>
          <w:tblCellMar>
            <w:top w:w="0" w:type="dxa"/>
            <w:left w:w="0" w:type="dxa"/>
            <w:bottom w:w="0" w:type="dxa"/>
            <w:right w:w="0" w:type="dxa"/>
          </w:tblCellMar>
        </w:tblPrEx>
        <w:trPr>
          <w:trHeight w:val="570" w:hRule="atLeast"/>
        </w:trPr>
        <w:tc>
          <w:tcPr>
            <w:tcW w:w="5000" w:type="pct"/>
            <w:gridSpan w:val="3"/>
            <w:tcBorders>
              <w:top w:val="nil"/>
              <w:left w:val="nil"/>
              <w:bottom w:val="single" w:color="000000" w:sz="4" w:space="0"/>
              <w:right w:val="nil"/>
            </w:tcBorders>
            <w:shd w:val="clear" w:color="auto" w:fill="auto"/>
            <w:tcMar>
              <w:top w:w="15" w:type="dxa"/>
              <w:left w:w="15" w:type="dxa"/>
              <w:right w:w="15" w:type="dxa"/>
            </w:tcMar>
            <w:vAlign w:val="center"/>
          </w:tcPr>
          <w:p w14:paraId="6C1F5A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方正小标宋简体" w:hAnsi="方正小标宋简体" w:eastAsia="方正小标宋简体" w:cs="方正小标宋简体"/>
                <w:i w:val="0"/>
                <w:color w:val="auto"/>
                <w:sz w:val="44"/>
                <w:szCs w:val="44"/>
                <w:u w:val="none"/>
              </w:rPr>
            </w:pPr>
            <w:r>
              <w:rPr>
                <w:rFonts w:hint="eastAsia" w:ascii="方正小标宋简体" w:hAnsi="方正小标宋简体" w:eastAsia="方正小标宋简体" w:cs="方正小标宋简体"/>
                <w:i w:val="0"/>
                <w:color w:val="auto"/>
                <w:kern w:val="0"/>
                <w:sz w:val="44"/>
                <w:szCs w:val="44"/>
                <w:u w:val="none"/>
                <w:lang w:val="en-US" w:eastAsia="zh-CN" w:bidi="ar"/>
              </w:rPr>
              <w:t>鄂托克前旗上海庙镇上级部门收回事项清单</w:t>
            </w:r>
          </w:p>
        </w:tc>
      </w:tr>
      <w:tr w14:paraId="27D32EA3">
        <w:tblPrEx>
          <w:tblCellMar>
            <w:top w:w="0" w:type="dxa"/>
            <w:left w:w="0" w:type="dxa"/>
            <w:bottom w:w="0" w:type="dxa"/>
            <w:right w:w="0" w:type="dxa"/>
          </w:tblCellMar>
        </w:tblPrEx>
        <w:trPr>
          <w:trHeight w:val="375"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71D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序号</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0D6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事项名称</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1B3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承接部门及工作方式</w:t>
            </w:r>
          </w:p>
        </w:tc>
      </w:tr>
      <w:tr w14:paraId="5BBC9D86">
        <w:tblPrEx>
          <w:tblCellMar>
            <w:top w:w="0" w:type="dxa"/>
            <w:left w:w="0" w:type="dxa"/>
            <w:bottom w:w="0" w:type="dxa"/>
            <w:right w:w="0" w:type="dxa"/>
          </w:tblCellMar>
        </w:tblPrEx>
        <w:trPr>
          <w:trHeight w:val="375"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2326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一、民生服务（</w:t>
            </w:r>
            <w:r>
              <w:rPr>
                <w:rFonts w:hint="default" w:ascii="黑体" w:hAnsi="宋体" w:eastAsia="黑体" w:cs="黑体"/>
                <w:i w:val="0"/>
                <w:color w:val="000000"/>
                <w:kern w:val="0"/>
                <w:sz w:val="32"/>
                <w:szCs w:val="32"/>
                <w:u w:val="none"/>
                <w:lang w:val="en-US" w:eastAsia="zh-CN" w:bidi="ar"/>
              </w:rPr>
              <w:t>8</w:t>
            </w:r>
            <w:r>
              <w:rPr>
                <w:rFonts w:hint="eastAsia" w:ascii="黑体" w:hAnsi="宋体" w:eastAsia="黑体" w:cs="黑体"/>
                <w:i w:val="0"/>
                <w:color w:val="auto"/>
                <w:kern w:val="0"/>
                <w:sz w:val="28"/>
                <w:szCs w:val="28"/>
                <w:u w:val="none"/>
                <w:lang w:val="en-US" w:eastAsia="zh-CN" w:bidi="ar"/>
              </w:rPr>
              <w:t>项）</w:t>
            </w:r>
          </w:p>
        </w:tc>
      </w:tr>
      <w:tr w14:paraId="3521A7AD">
        <w:tblPrEx>
          <w:tblCellMar>
            <w:top w:w="0" w:type="dxa"/>
            <w:left w:w="0" w:type="dxa"/>
            <w:bottom w:w="0" w:type="dxa"/>
            <w:right w:w="0" w:type="dxa"/>
          </w:tblCellMar>
        </w:tblPrEx>
        <w:trPr>
          <w:trHeight w:val="3672"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C38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1</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70E98">
            <w:pPr>
              <w:keepNext w:val="0"/>
              <w:keepLines w:val="0"/>
              <w:pageBreakBefore w:val="0"/>
              <w:widowControl/>
              <w:suppressLineNumbers w:val="0"/>
              <w:kinsoku/>
              <w:wordWrap/>
              <w:overflowPunct/>
              <w:topLinePunct w:val="0"/>
              <w:autoSpaceDE/>
              <w:autoSpaceDN/>
              <w:bidi w:val="0"/>
              <w:adjustRightInd/>
              <w:snapToGrid/>
              <w:jc w:val="both"/>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适龄儿童、少年因身体状况需要延缓入学或者休学审批。</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52089">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一、中小学生休学流程：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1.由学生父母或其他法定监护人向所在学校提出申请（提供县级以上医疗机构证明、病历等材料）；</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2.学校确认申请信息；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3.学校报学籍管理部门；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4.学籍管理部门核准；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5.休学期满后确需继续休学的，应重新申请办理。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二、幼儿园缓学（应入小学暂不入小学）流程：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1.家长到幼儿园提出缓学申请，幼儿园根据空余学位开具接受证明；</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2.根据幼儿园开具的接受证明，集中开具缓学证；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3.向幼儿园统一发放缓学证明。</w:t>
            </w:r>
          </w:p>
        </w:tc>
      </w:tr>
      <w:tr w14:paraId="7687DF81">
        <w:tblPrEx>
          <w:tblCellMar>
            <w:top w:w="0" w:type="dxa"/>
            <w:left w:w="0" w:type="dxa"/>
            <w:bottom w:w="0" w:type="dxa"/>
            <w:right w:w="0" w:type="dxa"/>
          </w:tblCellMar>
        </w:tblPrEx>
        <w:trPr>
          <w:trHeight w:val="2701"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80D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2</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5F64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违规多领取高龄补贴、最低生活保障、特困人员基本生活保障、残疾人两项补贴等民政补贴的追缴。</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76B8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1.对日常工作、群众举报、上级交办或其他途径中发现疑似以虚报、隐瞒、伪造等手段，骗取社会救助资金的行为，决定是否立案；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违规领取行为，由民政局决定停止发放社会救助资金，联系相关镇对当事人信息进行确认，及时向当事人或其家属发出追缴通知，责令限期退回非法获取的救助资金，可根据情况和法律法规处以罚款、给予处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3.广泛宣传社会救助资金的发放政策，让公众了解违规领取的后果，增强其法律意识和诚信意识；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4.定期对补贴发放对象进行全面核查，核实相关信息的真实性和是否发生变化。</w:t>
            </w:r>
          </w:p>
        </w:tc>
      </w:tr>
      <w:tr w14:paraId="186B8B90">
        <w:tblPrEx>
          <w:tblCellMar>
            <w:top w:w="0" w:type="dxa"/>
            <w:left w:w="0" w:type="dxa"/>
            <w:bottom w:w="0" w:type="dxa"/>
            <w:right w:w="0" w:type="dxa"/>
          </w:tblCellMar>
        </w:tblPrEx>
        <w:trPr>
          <w:trHeight w:val="829"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EBA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3</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AC95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城乡居民基本医疗保险已缴费人员统计。</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4D63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旗医疗保障局：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通过医保缴费系统统计城乡居民基本医疗保险缴费情况。</w:t>
            </w:r>
          </w:p>
        </w:tc>
      </w:tr>
      <w:tr w14:paraId="0322159A">
        <w:tblPrEx>
          <w:tblCellMar>
            <w:top w:w="0" w:type="dxa"/>
            <w:left w:w="0" w:type="dxa"/>
            <w:bottom w:w="0" w:type="dxa"/>
            <w:right w:w="0" w:type="dxa"/>
          </w:tblCellMar>
        </w:tblPrEx>
        <w:trPr>
          <w:trHeight w:val="18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12D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4</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7953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农村牧区生活饮用水水质检测监督。</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B1C9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1.根据城乡供水实际情况，科学规划并设立水质监测点，实现广泛覆盖；</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2.严格按照采样标准，定时定点采集出厂水、水源水及管网末梢水等水样，确保样品的代表性和完整性；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3.对采集的水样进行实验室检测，分析水质指标；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4.将检测结果及时上报至相关部门，并进行数据分析，全面掌握饮用水卫生安全现状；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5.按照相关规定，定期公开水质信息，接受社会监督，并对发现的问题进行及时反馈和处理。</w:t>
            </w:r>
          </w:p>
        </w:tc>
      </w:tr>
      <w:tr w14:paraId="04BC365E">
        <w:tblPrEx>
          <w:tblCellMar>
            <w:top w:w="0" w:type="dxa"/>
            <w:left w:w="0" w:type="dxa"/>
            <w:bottom w:w="0" w:type="dxa"/>
            <w:right w:w="0" w:type="dxa"/>
          </w:tblCellMar>
        </w:tblPrEx>
        <w:trPr>
          <w:trHeight w:val="218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5CC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5</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89A2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违规领取社会保险金的追缴。</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9D1C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1.对日常工作、群众举报、上级交办或其他途径中发现疑似违规领取社会保险金的行为，决定是否立案；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违规领取行为，由人力资源和社会保障局决定停止发放社会保险金，联系所在镇对当事人信息进行确认，及时向当事人或其家属发出追缴通知，责令限期退回非法获取的社会保险金，处骗取金额二倍以上五倍以下的罚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3.广泛宣传社会保险金的发放政策，让公众了解违规领取的后果，增强其法律意识和诚信意识；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4.定期对社会保险金发放对象进行全面核查，核实相关信息的真实性和是否发生变化。</w:t>
            </w:r>
          </w:p>
        </w:tc>
      </w:tr>
      <w:tr w14:paraId="21BD3E9C">
        <w:tblPrEx>
          <w:tblCellMar>
            <w:top w:w="0" w:type="dxa"/>
            <w:left w:w="0" w:type="dxa"/>
            <w:bottom w:w="0" w:type="dxa"/>
            <w:right w:w="0" w:type="dxa"/>
          </w:tblCellMar>
        </w:tblPrEx>
        <w:trPr>
          <w:trHeight w:val="1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54C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6</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00F2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残疾人临时救助资金审核发放。</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F5C1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1.对申请残疾人临时救助资料进行审核；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2.经审核，对符合条件的及时核发救助金。</w:t>
            </w:r>
          </w:p>
        </w:tc>
      </w:tr>
      <w:tr w14:paraId="392947AB">
        <w:tblPrEx>
          <w:tblCellMar>
            <w:top w:w="0" w:type="dxa"/>
            <w:left w:w="0" w:type="dxa"/>
            <w:bottom w:w="0" w:type="dxa"/>
            <w:right w:w="0" w:type="dxa"/>
          </w:tblCellMar>
        </w:tblPrEx>
        <w:trPr>
          <w:trHeight w:val="1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88D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7</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9A91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残疾人康复补助办理。</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7602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1.对申请残疾人康复补助资料进行审核；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2.对符合条件的，批准并发放补助资金。</w:t>
            </w:r>
          </w:p>
        </w:tc>
      </w:tr>
      <w:tr w14:paraId="3B9B45ED">
        <w:tblPrEx>
          <w:tblCellMar>
            <w:top w:w="0" w:type="dxa"/>
            <w:left w:w="0" w:type="dxa"/>
            <w:bottom w:w="0" w:type="dxa"/>
            <w:right w:w="0" w:type="dxa"/>
          </w:tblCellMar>
        </w:tblPrEx>
        <w:trPr>
          <w:trHeight w:val="1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BCC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8</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F1EC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残疾人助听器适配补贴办理。</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E4A4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1.对申请残疾人助听器适配补贴资料进行审核；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2.对符合条件的，批准并发放补贴资金。</w:t>
            </w:r>
          </w:p>
        </w:tc>
      </w:tr>
      <w:tr w14:paraId="7EB18F92">
        <w:tblPrEx>
          <w:tblCellMar>
            <w:top w:w="0" w:type="dxa"/>
            <w:left w:w="0" w:type="dxa"/>
            <w:bottom w:w="0" w:type="dxa"/>
            <w:right w:w="0" w:type="dxa"/>
          </w:tblCellMar>
        </w:tblPrEx>
        <w:trPr>
          <w:trHeight w:val="375"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FD0F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二、平安法治（</w:t>
            </w:r>
            <w:r>
              <w:rPr>
                <w:rFonts w:hint="eastAsia" w:ascii="黑体" w:hAnsi="宋体" w:eastAsia="黑体" w:cs="黑体"/>
                <w:i w:val="0"/>
                <w:color w:val="000000"/>
                <w:kern w:val="0"/>
                <w:sz w:val="32"/>
                <w:szCs w:val="32"/>
                <w:u w:val="none"/>
                <w:lang w:val="en-US" w:eastAsia="zh-CN" w:bidi="ar"/>
              </w:rPr>
              <w:t>8</w:t>
            </w:r>
            <w:r>
              <w:rPr>
                <w:rFonts w:hint="eastAsia" w:ascii="黑体" w:hAnsi="宋体" w:eastAsia="黑体" w:cs="黑体"/>
                <w:i w:val="0"/>
                <w:color w:val="auto"/>
                <w:kern w:val="0"/>
                <w:sz w:val="28"/>
                <w:szCs w:val="28"/>
                <w:u w:val="none"/>
                <w:lang w:val="en-US" w:eastAsia="zh-CN" w:bidi="ar"/>
              </w:rPr>
              <w:t>项）</w:t>
            </w:r>
          </w:p>
        </w:tc>
      </w:tr>
      <w:tr w14:paraId="4DEDE20B">
        <w:tblPrEx>
          <w:tblCellMar>
            <w:top w:w="0" w:type="dxa"/>
            <w:left w:w="0" w:type="dxa"/>
            <w:bottom w:w="0" w:type="dxa"/>
            <w:right w:w="0" w:type="dxa"/>
          </w:tblCellMar>
        </w:tblPrEx>
        <w:trPr>
          <w:trHeight w:val="12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D4A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9</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8AE1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办理涉法涉诉信访案件。</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6837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旗委政法委：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在接收到涉法涉诉信访案件后，依法进行调查核实，并依据相关法律法规和政策规定，对信访人的诉求进行答复和处理。</w:t>
            </w:r>
          </w:p>
        </w:tc>
      </w:tr>
      <w:tr w14:paraId="08665E56">
        <w:tblPrEx>
          <w:tblCellMar>
            <w:top w:w="0" w:type="dxa"/>
            <w:left w:w="0" w:type="dxa"/>
            <w:bottom w:w="0" w:type="dxa"/>
            <w:right w:w="0" w:type="dxa"/>
          </w:tblCellMar>
        </w:tblPrEx>
        <w:trPr>
          <w:trHeight w:val="88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8A4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0</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01F2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建设微型消防站。</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D0C8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指导嘎查村（社区）按需求建设微型消防站。</w:t>
            </w:r>
          </w:p>
        </w:tc>
      </w:tr>
      <w:tr w14:paraId="711C7105">
        <w:tblPrEx>
          <w:tblCellMar>
            <w:top w:w="0" w:type="dxa"/>
            <w:left w:w="0" w:type="dxa"/>
            <w:bottom w:w="0" w:type="dxa"/>
            <w:right w:w="0" w:type="dxa"/>
          </w:tblCellMar>
        </w:tblPrEx>
        <w:trPr>
          <w:trHeight w:val="2389"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DB8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1</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4059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电梯安全监督检查。</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22D3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1.按照规定频次对辖区内各类电梯开展现场检查；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2.检查电梯维保单位维保工作质量，包括维保计划执行、维保记录规范、故障处理及时性等方面；</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3.督促电梯使用单位落实安全管理主体责任，如落实“日管控、周排查、月调度”工作制度情况、设置安全管理机构或人员、建立安全技术档案等；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4.及时处理电梯相关投诉举报，快速组织调查核实，对存在问题的电梯依法采取停止使用等措施，消除安全隐患。</w:t>
            </w:r>
          </w:p>
        </w:tc>
      </w:tr>
      <w:tr w14:paraId="318A8CEF">
        <w:tblPrEx>
          <w:tblCellMar>
            <w:top w:w="0" w:type="dxa"/>
            <w:left w:w="0" w:type="dxa"/>
            <w:bottom w:w="0" w:type="dxa"/>
            <w:right w:w="0" w:type="dxa"/>
          </w:tblCellMar>
        </w:tblPrEx>
        <w:trPr>
          <w:trHeight w:val="3063"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8EA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2</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BC06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特种设备安全监督检查。</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55D6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1.科学编制监督检查计划，综合考虑特种设备数量、分布、使用频率等因素，确定检查重点、范围和周期；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2.详细检查使用单位安全管理情况，包括安全管理制度建立与执行、安全管理人员配备与履职、应急救援预案制定与演练等；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3.严格核查特种设备本身状况，如是否办理使用登记、是否在检验有效期内、安全附件和保护装置是否灵敏可靠、运行参数是否正常等；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4.依法依规查处违规行为，对存在安全隐患的单位下达特种设备安全监察指令，跟踪整改落实情况，对拒不整改或整改不到位的实施行政处罚。</w:t>
            </w:r>
          </w:p>
        </w:tc>
      </w:tr>
      <w:tr w14:paraId="716DA74D">
        <w:tblPrEx>
          <w:tblCellMar>
            <w:top w:w="0" w:type="dxa"/>
            <w:left w:w="0" w:type="dxa"/>
            <w:bottom w:w="0" w:type="dxa"/>
            <w:right w:w="0" w:type="dxa"/>
          </w:tblCellMar>
        </w:tblPrEx>
        <w:trPr>
          <w:trHeight w:val="3138"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AB8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3</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F4B4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特种设备事故应急处置。</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183DB">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1.结合地区实际，制定特种设备的应急预案，明确应急组织机构、职责分工、响应程序等关键内容，并定期修订完善；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2.组织并督促实施应急演练，提升部门协同、人员实操能力，确保在事故发生时，能快速反应，高效调配应急救援资源；</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3.事故发生后，立即启动应急响应，组织专业救援力量抢险救援，同时做好现场警戒、人员疏散等工作，防止次生灾害；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4.及时、准确发布事故信息，回应社会关切，做好舆论引导，事故结束后，对处置过程复盘评估，改进不足。</w:t>
            </w:r>
          </w:p>
        </w:tc>
      </w:tr>
      <w:tr w14:paraId="0CE2F5D4">
        <w:tblPrEx>
          <w:tblCellMar>
            <w:top w:w="0" w:type="dxa"/>
            <w:left w:w="0" w:type="dxa"/>
            <w:bottom w:w="0" w:type="dxa"/>
            <w:right w:w="0" w:type="dxa"/>
          </w:tblCellMar>
        </w:tblPrEx>
        <w:trPr>
          <w:trHeight w:val="2701"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644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4</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B23C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特种设备事故调查处理。</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77C5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1.迅速响应事故报告，第一时间抵达事故现场，保护现场完整，开展细致勘查，留存影像、物证等关键资料；</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2.全面深入调查，访谈涉事人员，查阅运行记录、维护档案等资料，借助专业检测、技术鉴定等手段，精准剖析事故原因；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3.依据法律法规和调查结果，科学判定事故性质，明确划分责任，对责任单位和个人提出处理意见；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4.系统总结事故教训，形成详实调查报告，向社会和行业通报，提出针对性强的安全防范和整改建议，督促相关单位落实。</w:t>
            </w:r>
          </w:p>
        </w:tc>
      </w:tr>
      <w:tr w14:paraId="48290CCD">
        <w:tblPrEx>
          <w:tblCellMar>
            <w:top w:w="0" w:type="dxa"/>
            <w:left w:w="0" w:type="dxa"/>
            <w:bottom w:w="0" w:type="dxa"/>
            <w:right w:w="0" w:type="dxa"/>
          </w:tblCellMar>
        </w:tblPrEx>
        <w:trPr>
          <w:trHeight w:val="1515"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4B1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5</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DA1F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危险化学品领域安全检查。</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3AD8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1.结合实际情况，制定对各重点行业领域的安全隐患排查的方案；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2.联合有关部门对各个领域进行安全隐患排查工作，并做好相关检查台账；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3.对检查出的安全隐患问题进行整改。</w:t>
            </w:r>
          </w:p>
        </w:tc>
      </w:tr>
      <w:tr w14:paraId="0B8CBD3B">
        <w:tblPrEx>
          <w:tblCellMar>
            <w:top w:w="0" w:type="dxa"/>
            <w:left w:w="0" w:type="dxa"/>
            <w:bottom w:w="0" w:type="dxa"/>
            <w:right w:w="0" w:type="dxa"/>
          </w:tblCellMar>
        </w:tblPrEx>
        <w:trPr>
          <w:trHeight w:val="1453"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1C1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6</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28B39">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烟花爆竹经营企业的安全监督检查。</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448C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1.结合实际情况，制定安全隐患排查的方案；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2.联合有关部门进行安全隐患排查工作，并做好相关检查台账；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3.对检查出的安全隐患问题进行整改。</w:t>
            </w:r>
          </w:p>
        </w:tc>
      </w:tr>
      <w:tr w14:paraId="5AA32561">
        <w:tblPrEx>
          <w:tblCellMar>
            <w:top w:w="0" w:type="dxa"/>
            <w:left w:w="0" w:type="dxa"/>
            <w:bottom w:w="0" w:type="dxa"/>
            <w:right w:w="0" w:type="dxa"/>
          </w:tblCellMar>
        </w:tblPrEx>
        <w:trPr>
          <w:trHeight w:val="526" w:hRule="atLeast"/>
        </w:trPr>
        <w:tc>
          <w:tcPr>
            <w:tcW w:w="5000" w:type="pct"/>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8560B7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三、乡村振兴（</w:t>
            </w:r>
            <w:r>
              <w:rPr>
                <w:rFonts w:hint="default" w:ascii="黑体" w:hAnsi="宋体" w:eastAsia="黑体" w:cs="黑体"/>
                <w:i w:val="0"/>
                <w:color w:val="000000"/>
                <w:kern w:val="0"/>
                <w:sz w:val="32"/>
                <w:szCs w:val="32"/>
                <w:u w:val="none"/>
                <w:lang w:val="en-US" w:eastAsia="zh-CN" w:bidi="ar"/>
              </w:rPr>
              <w:t>8</w:t>
            </w:r>
            <w:r>
              <w:rPr>
                <w:rFonts w:hint="eastAsia" w:ascii="黑体" w:hAnsi="宋体" w:eastAsia="黑体" w:cs="黑体"/>
                <w:i w:val="0"/>
                <w:color w:val="auto"/>
                <w:kern w:val="0"/>
                <w:sz w:val="28"/>
                <w:szCs w:val="28"/>
                <w:u w:val="none"/>
                <w:lang w:val="en-US" w:eastAsia="zh-CN" w:bidi="ar"/>
              </w:rPr>
              <w:t>项）</w:t>
            </w:r>
          </w:p>
        </w:tc>
      </w:tr>
      <w:tr w14:paraId="40FEF982">
        <w:tblPrEx>
          <w:tblCellMar>
            <w:top w:w="0" w:type="dxa"/>
            <w:left w:w="0" w:type="dxa"/>
            <w:bottom w:w="0" w:type="dxa"/>
            <w:right w:w="0" w:type="dxa"/>
          </w:tblCellMar>
        </w:tblPrEx>
        <w:trPr>
          <w:trHeight w:val="184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2D3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7</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C0CC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设施农业用地备案。</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C2C4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1.由用地主体提出设施用地申请；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2.对选址情况进行审核；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3.告知申请人设施用地办理情况；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4.核对资料后出具备案意见。</w:t>
            </w:r>
          </w:p>
        </w:tc>
      </w:tr>
      <w:tr w14:paraId="6CB20072">
        <w:tblPrEx>
          <w:tblCellMar>
            <w:top w:w="0" w:type="dxa"/>
            <w:left w:w="0" w:type="dxa"/>
            <w:bottom w:w="0" w:type="dxa"/>
            <w:right w:w="0" w:type="dxa"/>
          </w:tblCellMar>
        </w:tblPrEx>
        <w:trPr>
          <w:trHeight w:val="1945"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619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8</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90C0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管辖水库的降等、报废和安全管理工作。</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09F4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1.负责对所管辖的水库进行监督检查；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2.对需要降等、报废的水库进行论证；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3.根据审批权限审批；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4.负责对审批后降等、报废的水库实施各项措施。</w:t>
            </w:r>
          </w:p>
        </w:tc>
      </w:tr>
      <w:tr w14:paraId="475BACC3">
        <w:tblPrEx>
          <w:tblCellMar>
            <w:top w:w="0" w:type="dxa"/>
            <w:left w:w="0" w:type="dxa"/>
            <w:bottom w:w="0" w:type="dxa"/>
            <w:right w:w="0" w:type="dxa"/>
          </w:tblCellMar>
        </w:tblPrEx>
        <w:trPr>
          <w:trHeight w:val="2095"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298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19</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4E66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日常动物疫情信息采集。</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90EE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1.收集相关动物的病历记录，包括发病时间、症状、诊断结果等，以及疫病在动物群体中的传播情况；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2.对疫情发生地进行实地观察，记录动物的行为、体征等异常情况；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3.根据不同动</w:t>
            </w:r>
            <w:bookmarkStart w:id="0" w:name="_GoBack"/>
            <w:bookmarkEnd w:id="0"/>
            <w:r>
              <w:rPr>
                <w:rFonts w:hint="eastAsia" w:ascii="仿宋_GB2312" w:hAnsi="宋体" w:eastAsia="仿宋_GB2312" w:cs="仿宋_GB2312"/>
                <w:i w:val="0"/>
                <w:color w:val="auto"/>
                <w:kern w:val="0"/>
                <w:sz w:val="24"/>
                <w:szCs w:val="24"/>
                <w:u w:val="none"/>
                <w:lang w:val="en-US" w:eastAsia="zh-CN" w:bidi="ar"/>
              </w:rPr>
              <w:t>物种类和采样需求，选择合适的采样方法采集样品；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4.在确认疫情后，及时向公众发布疫情信息，包括疫情类型、发生地、影响范围等；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5.加强疫情知识的宣传和教育，提高公众对动物疫情的认识和防范意识。</w:t>
            </w:r>
          </w:p>
        </w:tc>
      </w:tr>
      <w:tr w14:paraId="7EA1EEE2">
        <w:tblPrEx>
          <w:tblCellMar>
            <w:top w:w="0" w:type="dxa"/>
            <w:left w:w="0" w:type="dxa"/>
            <w:bottom w:w="0" w:type="dxa"/>
            <w:right w:w="0" w:type="dxa"/>
          </w:tblCellMar>
        </w:tblPrEx>
        <w:trPr>
          <w:trHeight w:val="1577"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A30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0</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1916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屠宰检疫。</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334BE">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1.负责动物屠宰相关活动的监督管理工作；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2.负责对屠宰动物、动物产品实施检疫；检疫合格的，出具检疫证明、加施检疫标志；</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3.建立定点屠宰厂（场）信用档案，记录日常监督检查等情况。</w:t>
            </w:r>
          </w:p>
        </w:tc>
      </w:tr>
      <w:tr w14:paraId="2A91067E">
        <w:tblPrEx>
          <w:tblCellMar>
            <w:top w:w="0" w:type="dxa"/>
            <w:left w:w="0" w:type="dxa"/>
            <w:bottom w:w="0" w:type="dxa"/>
            <w:right w:w="0" w:type="dxa"/>
          </w:tblCellMar>
        </w:tblPrEx>
        <w:trPr>
          <w:trHeight w:val="108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3C2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1</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87EE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动物检疫。</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A8E2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1.开展动物检疫工作；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2.开展检疫监管工作。</w:t>
            </w:r>
          </w:p>
        </w:tc>
      </w:tr>
      <w:tr w14:paraId="6B8FD014">
        <w:tblPrEx>
          <w:tblCellMar>
            <w:top w:w="0" w:type="dxa"/>
            <w:left w:w="0" w:type="dxa"/>
            <w:bottom w:w="0" w:type="dxa"/>
            <w:right w:w="0" w:type="dxa"/>
          </w:tblCellMar>
        </w:tblPrEx>
        <w:trPr>
          <w:trHeight w:val="2198"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793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2</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675F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农药日常监管及生产经营存在问题的处置。</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5290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1.完善监管制度和机制；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2.对辖区内的农药生产和经营单位进行定期和不定期的监督检查，确保农药的生产经营活动符合相关法律法规的要求；</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3.对农药生产经营单位存在违法违规行为依法进行查处；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4.开展农药安全宣传和培训，提高农药生产经营者和使用者的安全意识和法律意识。</w:t>
            </w:r>
          </w:p>
        </w:tc>
      </w:tr>
      <w:tr w14:paraId="2EC4FBE4">
        <w:tblPrEx>
          <w:tblCellMar>
            <w:top w:w="0" w:type="dxa"/>
            <w:left w:w="0" w:type="dxa"/>
            <w:bottom w:w="0" w:type="dxa"/>
            <w:right w:w="0" w:type="dxa"/>
          </w:tblCellMar>
        </w:tblPrEx>
        <w:trPr>
          <w:trHeight w:val="2315"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52E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3</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D616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肥料日常监管及生产经营存在问题的处置。</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2AFA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1.完善监管制度和机制；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2.对辖区内的肥料生产和经营单位进行定期和不定期的监督检查，确保肥料的生产经营活动符合相关法律法规的要求；</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3.对肥料生产经营单位存在违法违规行为依法进行查处；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4.开展肥料安全宣传和培训，提高肥料生产经营者和使用者的安全意识和法律意识。</w:t>
            </w:r>
          </w:p>
        </w:tc>
      </w:tr>
      <w:tr w14:paraId="73133EBC">
        <w:tblPrEx>
          <w:tblCellMar>
            <w:top w:w="0" w:type="dxa"/>
            <w:left w:w="0" w:type="dxa"/>
            <w:bottom w:w="0" w:type="dxa"/>
            <w:right w:w="0" w:type="dxa"/>
          </w:tblCellMar>
        </w:tblPrEx>
        <w:trPr>
          <w:trHeight w:val="4686"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C33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4</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59FB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开展种子执法监督，依法惩处侵害种子使用者、生产经营者权益和侵犯植物新品种权的违法行为。</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5570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一、行政执法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1.进入种子生产、经营、使用等场所进行现场检查，了解种子的生产、质量、销售等情况；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2.对涉嫌违法违规的种子进行抽样检查，包括种子的品种、质量、标签、包装等；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3.对相关人员进行询问，调查种子的来源、去向、销售情况等，以获取必要的证据；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4.查阅、复制与种子生产、经营、使用等相关的资料，如生产记录、销售台账、质量检验报告等；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5.查封、扣押有证据证明违法生产经营的种子，以及用于违法生产经营的工具、设备及运输工具等；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6.对于发现的违法违规行为，责令相关单位或个人立即整改，消除违法状态；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7.对于拒不整改或整改不到位的，依法进行处罚，包括警告、罚款、吊销许可证等。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二、处理侵权纠纷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1.接受种子使用者、生产经营者及植物新品种权所有人的投诉，对侵犯其合法权益的行为进行调查处理；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2.在双方当事人自愿的基础上，对侵犯植物新品种权所造成的损害赔偿进行调解；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3.对于侵犯植物新品种权的行为，责令侵权人停止侵权行为，没收违法所得和种子，并依法进行罚款。</w:t>
            </w:r>
          </w:p>
        </w:tc>
      </w:tr>
      <w:tr w14:paraId="631E848D">
        <w:tblPrEx>
          <w:shd w:val="clear" w:color="auto" w:fill="auto"/>
          <w:tblCellMar>
            <w:top w:w="0" w:type="dxa"/>
            <w:left w:w="0" w:type="dxa"/>
            <w:bottom w:w="0" w:type="dxa"/>
            <w:right w:w="0" w:type="dxa"/>
          </w:tblCellMar>
        </w:tblPrEx>
        <w:trPr>
          <w:trHeight w:val="58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4AE7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四、城乡建设（</w:t>
            </w:r>
            <w:r>
              <w:rPr>
                <w:rFonts w:hint="default" w:ascii="黑体" w:hAnsi="宋体" w:eastAsia="黑体" w:cs="黑体"/>
                <w:i w:val="0"/>
                <w:color w:val="000000"/>
                <w:kern w:val="0"/>
                <w:sz w:val="32"/>
                <w:szCs w:val="32"/>
                <w:u w:val="none"/>
                <w:lang w:val="en-US" w:eastAsia="zh-CN" w:bidi="ar"/>
              </w:rPr>
              <w:t>21</w:t>
            </w:r>
            <w:r>
              <w:rPr>
                <w:rFonts w:hint="eastAsia" w:ascii="黑体" w:hAnsi="宋体" w:eastAsia="黑体" w:cs="黑体"/>
                <w:i w:val="0"/>
                <w:color w:val="auto"/>
                <w:kern w:val="0"/>
                <w:sz w:val="28"/>
                <w:szCs w:val="28"/>
                <w:u w:val="none"/>
                <w:lang w:val="en-US" w:eastAsia="zh-CN" w:bidi="ar"/>
              </w:rPr>
              <w:t>项）</w:t>
            </w:r>
          </w:p>
        </w:tc>
      </w:tr>
      <w:tr w14:paraId="7A7260F3">
        <w:tblPrEx>
          <w:tblCellMar>
            <w:top w:w="0" w:type="dxa"/>
            <w:left w:w="0" w:type="dxa"/>
            <w:bottom w:w="0" w:type="dxa"/>
            <w:right w:w="0" w:type="dxa"/>
          </w:tblCellMar>
        </w:tblPrEx>
        <w:trPr>
          <w:trHeight w:val="1973"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38E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5</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F567E">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开展宅基地使用权及房屋所有权登记。</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8076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1.明确申请条件与主体；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2.提供申请材料清单；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3.规范办理流程；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4.优化服务方式；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5.加强监管与指导。</w:t>
            </w:r>
          </w:p>
        </w:tc>
      </w:tr>
      <w:tr w14:paraId="155698CD">
        <w:tblPrEx>
          <w:tblCellMar>
            <w:top w:w="0" w:type="dxa"/>
            <w:left w:w="0" w:type="dxa"/>
            <w:bottom w:w="0" w:type="dxa"/>
            <w:right w:w="0" w:type="dxa"/>
          </w:tblCellMar>
        </w:tblPrEx>
        <w:trPr>
          <w:trHeight w:val="2175"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49F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6</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A8209">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辖区乡道、村道建设工作。</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D13B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1.负责加强乡道村道的日常建设及项目建设计划上报、资金争取、手续办理等；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2.负责公路病害的巡查、发现、报告、处置及修复工作；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3.负责对镇上报的安全隐患的路段组织相关单位进行实地调查了解情况，对确需整改的路段进行施工设计并组织施工整改；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4.负责修复工程的施工、质量监督及验收工作。</w:t>
            </w:r>
          </w:p>
        </w:tc>
      </w:tr>
      <w:tr w14:paraId="6D9E20DE">
        <w:tblPrEx>
          <w:tblCellMar>
            <w:top w:w="0" w:type="dxa"/>
            <w:left w:w="0" w:type="dxa"/>
            <w:bottom w:w="0" w:type="dxa"/>
            <w:right w:w="0" w:type="dxa"/>
          </w:tblCellMar>
        </w:tblPrEx>
        <w:trPr>
          <w:trHeight w:val="3051"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8E2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7</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28CB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住宅维修资金指导和监督。</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B3EC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1.交存监督：监督业主、建设单位和售房单位按照规定的标准和程序交存住宅专项维修资金，确保资金及时、足额存入专户；对于未按规定交存、交付的，责令其限期改正；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2.使用监管：审核住宅专项维修资金使用申请，包括维修和更新、改造项目的必要性、费用预算的合理性等。对使用方案的表决程序、实施过程进行监督，确保资金专款专用，防止挪用、侵占等情况发生；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3.账户管理监督：监督专户管理银行的选择和资金专户的设立，检查资金账户的管理情况，包括账目核对、对账单发送等，确保资金安全和账目清晰；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4.信息管理与公开：建立住宅专项维修资金管理信息系统，实现资金交存、使用、余额等信息的信息化管理。同时，督促相关部门和单位向业主公布维修资金的收支情况，保障业主的知情权。</w:t>
            </w:r>
          </w:p>
        </w:tc>
      </w:tr>
      <w:tr w14:paraId="0F84EA1D">
        <w:tblPrEx>
          <w:shd w:val="clear" w:color="auto" w:fill="auto"/>
          <w:tblCellMar>
            <w:top w:w="0" w:type="dxa"/>
            <w:left w:w="0" w:type="dxa"/>
            <w:bottom w:w="0" w:type="dxa"/>
            <w:right w:w="0" w:type="dxa"/>
          </w:tblCellMar>
        </w:tblPrEx>
        <w:trPr>
          <w:trHeight w:val="30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E79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8</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24EB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*未对设在城市道路上的各种管线的检查井、箱盖或者城市道路附属设施的缺损及时补缺或者修复的处罚。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E93AE">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549753D0">
        <w:tblPrEx>
          <w:tblCellMar>
            <w:top w:w="0" w:type="dxa"/>
            <w:left w:w="0" w:type="dxa"/>
            <w:bottom w:w="0" w:type="dxa"/>
            <w:right w:w="0" w:type="dxa"/>
          </w:tblCellMar>
        </w:tblPrEx>
        <w:trPr>
          <w:trHeight w:val="325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CB3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29</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7301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*对紧急抢修埋设在城市道路下的管线，不按照规定补办批准手续的处罚。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A15FE">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134656BD">
        <w:tblPrEx>
          <w:tblCellMar>
            <w:top w:w="0" w:type="dxa"/>
            <w:left w:w="0" w:type="dxa"/>
            <w:bottom w:w="0" w:type="dxa"/>
            <w:right w:w="0" w:type="dxa"/>
          </w:tblCellMar>
        </w:tblPrEx>
        <w:trPr>
          <w:trHeight w:val="30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830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0</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A46E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*对建设单位、物业服务企业不移交有关物业管理资料的处罚。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8AC49">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74972454">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796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1</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C4C8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*对未在城市道路施工现场设置明显标志和安全防围设施的处罚。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BE0F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0D577AAA">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31D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2</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4D3A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*对依附于城市道路建设各种管线、杆线等设施，不按照规定办理批准手续的处罚。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D9F3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2EBBD435">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037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3</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6692E">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*对在城市建筑物、设施以及树木上涂写、刻画或者未经批准张挂、张贴宣传品等的处罚。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7BE8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39B16D4D">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D2A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4</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FBDC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*对占用城市道路期满或者挖掘城市道路后，不及时清理现场的处罚。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B938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713D7FAF">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DAB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5</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68B6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*对未按照批准的位置、面积、期限占用或者挖掘城市道路，或者需要移动位置、扩大面积、延长时间的，未提前办理变更审批手续的处罚。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A87E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12DDA3FF">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B9B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6</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8350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*对在城市人民政府规定的街道的临街建筑物的阳台和窗外，堆放、吊挂有碍市容的物品的处罚。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FE9A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1EB10201">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47B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7</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A123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*对临街工地不设置护栏或者不作遮挡、停工场地不及时整理并作必要覆盖或者竣工后不及时清理和平整场地，影响市容和环境卫生的处罚。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F0A3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4AF00810">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2CA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8</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0797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*对擅自设置大型户外广告标牌设施，影响市容的处罚。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2F24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6E9F37EF">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4C9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39</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34CB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*对擅自在街道两侧和公共场地堆放物料，搭建建筑物、构筑物或者其他设施，影响市容的处罚。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FBFC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1A039456">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C3C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40</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264F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*对擅自停止使用取退水计量设施的处罚。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A40C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3EFFDA22">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F36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1</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7FDE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*对物业服务企业将一个物业管理区域内的全部物业管理一并委托给他人的处罚。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33EF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4A82B05C">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5CA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2</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C092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*对未经业主大会同意，物业服务企业擅自改变物业管理用房的用途的处罚。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5BC2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7010069F">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433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3</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A616B">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*对擅自改变物业管理区域内按照规划建设的公共建筑和共用设施用途的处罚。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062A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2FBB8156">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1F1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4</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6F13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*对擅自占用、挖掘物业管理区域内道路、场地，损害业主共同利益的处罚。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FE29B">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26DCAA0D">
        <w:tblPrEx>
          <w:tblCellMar>
            <w:top w:w="0" w:type="dxa"/>
            <w:left w:w="0" w:type="dxa"/>
            <w:bottom w:w="0" w:type="dxa"/>
            <w:right w:w="0" w:type="dxa"/>
          </w:tblCellMar>
        </w:tblPrEx>
        <w:trPr>
          <w:trHeight w:val="306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D56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5</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EB0F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*对擅自利用物业共用部位、共用设施设备进行经营的处罚。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BE7A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1A5DAE42">
        <w:tblPrEx>
          <w:tblCellMar>
            <w:top w:w="0" w:type="dxa"/>
            <w:left w:w="0" w:type="dxa"/>
            <w:bottom w:w="0" w:type="dxa"/>
            <w:right w:w="0" w:type="dxa"/>
          </w:tblCellMar>
        </w:tblPrEx>
        <w:trPr>
          <w:trHeight w:val="6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6E0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五、生态环保（</w:t>
            </w:r>
            <w:r>
              <w:rPr>
                <w:rFonts w:hint="default" w:ascii="黑体" w:hAnsi="宋体" w:eastAsia="黑体" w:cs="黑体"/>
                <w:i w:val="0"/>
                <w:color w:val="000000"/>
                <w:kern w:val="0"/>
                <w:sz w:val="32"/>
                <w:szCs w:val="32"/>
                <w:u w:val="none"/>
                <w:lang w:val="en-US" w:eastAsia="zh-CN" w:bidi="ar"/>
              </w:rPr>
              <w:t>19</w:t>
            </w:r>
            <w:r>
              <w:rPr>
                <w:rFonts w:hint="eastAsia" w:ascii="黑体" w:hAnsi="宋体" w:eastAsia="黑体" w:cs="黑体"/>
                <w:i w:val="0"/>
                <w:color w:val="auto"/>
                <w:kern w:val="0"/>
                <w:sz w:val="28"/>
                <w:szCs w:val="28"/>
                <w:u w:val="none"/>
                <w:lang w:val="en-US" w:eastAsia="zh-CN" w:bidi="ar"/>
              </w:rPr>
              <w:t>项）</w:t>
            </w:r>
          </w:p>
        </w:tc>
      </w:tr>
      <w:tr w14:paraId="78D588B1">
        <w:tblPrEx>
          <w:tblCellMar>
            <w:top w:w="0" w:type="dxa"/>
            <w:left w:w="0" w:type="dxa"/>
            <w:bottom w:w="0" w:type="dxa"/>
            <w:right w:w="0" w:type="dxa"/>
          </w:tblCellMar>
        </w:tblPrEx>
        <w:trPr>
          <w:trHeight w:val="108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803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6</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BBCDB">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土地卫片疑似违法违规图斑的核查。</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FE68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1.接收上级下发的图斑数据；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2.开展外业核查及内业填报工作。</w:t>
            </w:r>
          </w:p>
        </w:tc>
      </w:tr>
      <w:tr w14:paraId="0E468C01">
        <w:tblPrEx>
          <w:tblCellMar>
            <w:top w:w="0" w:type="dxa"/>
            <w:left w:w="0" w:type="dxa"/>
            <w:bottom w:w="0" w:type="dxa"/>
            <w:right w:w="0" w:type="dxa"/>
          </w:tblCellMar>
        </w:tblPrEx>
        <w:trPr>
          <w:trHeight w:val="4027" w:hRule="atLeast"/>
        </w:trPr>
        <w:tc>
          <w:tcPr>
            <w:tcW w:w="216"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20FBCE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7</w:t>
            </w:r>
          </w:p>
        </w:tc>
        <w:tc>
          <w:tcPr>
            <w:tcW w:w="129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459EBB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对禁牧区违规搭建圈舍的拆除。</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4F9E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1.通过日常巡查、群众举报、卫星遥感监测等多种方式，发现在禁牧区违规搭建圈舍问题；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2.对违规搭建圈舍的情况进行调查取证，包括现场勘察、拍照、测量、询问当事人等，获取圈舍的位置、面积、结构、建造时间、用途以及当事人的基本信息等证据，并制作相关笔录和勘察报告；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3.依据《中华人民共和国草原法》《内蒙古自治区草畜平衡和禁牧休牧条例》《内蒙古自治区基本草原保护条例》等相关法律法规，对所调查的圈舍是否属于违法建筑进行认定；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4.经认定为违法建筑后，出具《责令限期拆除违法建筑决定书》,明确告知当事人违法行为，要求其在规定的期限内自行拆除；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5.将《责令限期拆除决定书》依法送达当事人，并由接收人签字确认；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6.逾期未拆除的，作出强制拆除决定，并进行强制拆除；</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7.拆除完成后，对拆除现场进行清理和检查，防止出现安全隐患；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8.加强对禁牧区的后续监管，防止类似的违规搭建行为再次发生。</w:t>
            </w:r>
          </w:p>
        </w:tc>
      </w:tr>
      <w:tr w14:paraId="4CCD9B44">
        <w:tblPrEx>
          <w:shd w:val="clear" w:color="auto" w:fill="auto"/>
          <w:tblCellMar>
            <w:top w:w="0" w:type="dxa"/>
            <w:left w:w="0" w:type="dxa"/>
            <w:bottom w:w="0" w:type="dxa"/>
            <w:right w:w="0" w:type="dxa"/>
          </w:tblCellMar>
        </w:tblPrEx>
        <w:trPr>
          <w:trHeight w:val="3020" w:hRule="atLeast"/>
        </w:trPr>
        <w:tc>
          <w:tcPr>
            <w:tcW w:w="216" w:type="pct"/>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5A5D71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8</w:t>
            </w:r>
          </w:p>
        </w:tc>
        <w:tc>
          <w:tcPr>
            <w:tcW w:w="1299" w:type="pct"/>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40522D8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*责令农村村民退还未经批准或者采取欺骗手段骗取批准，非法占用土地建住宅的土地，并责令拆除非法占用土地上新建的房屋。</w:t>
            </w:r>
          </w:p>
        </w:tc>
        <w:tc>
          <w:tcPr>
            <w:tcW w:w="3484" w:type="pc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10FE7C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05521BA4">
        <w:tblPrEx>
          <w:tblCellMar>
            <w:top w:w="0" w:type="dxa"/>
            <w:left w:w="0" w:type="dxa"/>
            <w:bottom w:w="0" w:type="dxa"/>
            <w:right w:w="0" w:type="dxa"/>
          </w:tblCellMar>
        </w:tblPrEx>
        <w:trPr>
          <w:trHeight w:val="3020" w:hRule="atLeast"/>
        </w:trPr>
        <w:tc>
          <w:tcPr>
            <w:tcW w:w="216" w:type="pct"/>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7438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49</w:t>
            </w:r>
          </w:p>
        </w:tc>
        <w:tc>
          <w:tcPr>
            <w:tcW w:w="1299" w:type="pct"/>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D2EE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*对擅自在草原上开展经营性旅游活动，破坏草原植被的处罚。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C23F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733A9CDE">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70B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0</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84AA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*对买卖或者以其他形式非法转让草原的处罚。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C8E4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07DA133F">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11A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1</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89EE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*对机动车辆未经批准离开道路在草原上行驶或者未按照确认的行驶区域和行驶路线在草原上行驶，破坏草原植被的处罚。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1826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47A7E566">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D00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2</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6AE6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*对草原围栏建设中因阻断道路对草原造成碾压破坏的处罚。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FD65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18419880">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A3E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3</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8D6A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*对采集发菜，或者在水土流失重点预防区和重点治理区铲草皮、挖树兜、滥挖虫草、甘草、麻黄等的处罚。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9C8F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4275731D">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4CB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4</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4416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*对在禁止开垦坡度以上陡坡地开垦种植农作物，或者在禁止开垦，开发的植物保护带内开垦、开发的处罚。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A0D9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2CB5C02A">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1C4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5</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D04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*对河道、湖泊管理范围内建设妨碍行洪的建筑物、构筑物的处罚。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8820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5087A092">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A9A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6</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06A5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*对在河道、湖泊管理范围内倾倒垃圾、渣土，从事影响河势稳定、危害河岸堤防安全和其他妨碍河道行洪的活动的处罚。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D3AA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5FBCEC0C">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9B8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7</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D08F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*对在江河、湖泊、水库、运河、渠道内弃置、堆放阻碍行洪的物体和种植阻碍行洪的林木及高秆作物的处罚。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5523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74C0CBEF">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950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5</w:t>
            </w:r>
            <w:r>
              <w:rPr>
                <w:rFonts w:hint="eastAsia" w:ascii="Times New Roman" w:hAnsi="Times New Roman" w:eastAsia="宋体" w:cs="Times New Roman"/>
                <w:i w:val="0"/>
                <w:color w:val="auto"/>
                <w:kern w:val="0"/>
                <w:sz w:val="24"/>
                <w:szCs w:val="24"/>
                <w:u w:val="none"/>
                <w:lang w:val="en-US" w:eastAsia="zh-CN" w:bidi="ar"/>
              </w:rPr>
              <w:t>8</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02DE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*对围湖造地或者未经批准围垦河道的处罚。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DDF4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75CB5606">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8B3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59</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4434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*对在崩塌、滑坡危险区或者泥石流易发区从事取土、挖砂、采石等可能造成水土流失的活动的处罚。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0998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48670FE7">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67B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6</w:t>
            </w:r>
            <w:r>
              <w:rPr>
                <w:rFonts w:hint="eastAsia" w:ascii="Times New Roman" w:hAnsi="Times New Roman" w:eastAsia="宋体" w:cs="Times New Roman"/>
                <w:i w:val="0"/>
                <w:color w:val="auto"/>
                <w:kern w:val="0"/>
                <w:sz w:val="24"/>
                <w:szCs w:val="24"/>
                <w:u w:val="none"/>
                <w:lang w:val="en-US" w:eastAsia="zh-CN" w:bidi="ar"/>
              </w:rPr>
              <w:t>0</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F412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*对在水土保持方案确定的专门存放地以外的区域倾倒砂、石、土、矸石、尾矿、废渣等的处罚。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1FC5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59B44C58">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C3B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6</w:t>
            </w:r>
            <w:r>
              <w:rPr>
                <w:rFonts w:hint="eastAsia" w:ascii="Times New Roman" w:hAnsi="Times New Roman" w:eastAsia="宋体" w:cs="Times New Roman"/>
                <w:i w:val="0"/>
                <w:color w:val="auto"/>
                <w:kern w:val="0"/>
                <w:sz w:val="24"/>
                <w:szCs w:val="24"/>
                <w:u w:val="none"/>
                <w:lang w:val="en-US" w:eastAsia="zh-CN" w:bidi="ar"/>
              </w:rPr>
              <w:t>1</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A858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*对开办生产建设项目或者从事其他生产建设活动造成水土流失不进行治理的处置。</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4EF4E">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16B10AE3">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B7F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6</w:t>
            </w:r>
            <w:r>
              <w:rPr>
                <w:rFonts w:hint="eastAsia" w:ascii="Times New Roman" w:hAnsi="Times New Roman" w:eastAsia="宋体" w:cs="Times New Roman"/>
                <w:i w:val="0"/>
                <w:color w:val="auto"/>
                <w:kern w:val="0"/>
                <w:sz w:val="24"/>
                <w:szCs w:val="24"/>
                <w:u w:val="none"/>
                <w:lang w:val="en-US" w:eastAsia="zh-CN" w:bidi="ar"/>
              </w:rPr>
              <w:t>2</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34BE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*对在河道管理范围内弃置、堆放阻碍行洪物体的；种植阻碍行洪的林木或者高杆植物的；修建围堤、阻水渠道、阻水道路的处罚。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3E4E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116AB2AC">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029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6</w:t>
            </w:r>
            <w:r>
              <w:rPr>
                <w:rFonts w:hint="eastAsia" w:ascii="Times New Roman" w:hAnsi="Times New Roman" w:eastAsia="宋体" w:cs="Times New Roman"/>
                <w:i w:val="0"/>
                <w:color w:val="auto"/>
                <w:kern w:val="0"/>
                <w:sz w:val="24"/>
                <w:szCs w:val="24"/>
                <w:u w:val="none"/>
                <w:lang w:val="en-US" w:eastAsia="zh-CN" w:bidi="ar"/>
              </w:rPr>
              <w:t>3</w:t>
            </w:r>
          </w:p>
        </w:tc>
        <w:tc>
          <w:tcPr>
            <w:tcW w:w="129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9C80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*对在堤防、护堤地建房、放牧、开渠、打井、挖窖、葬坟、晒粮、存放物料、开采地下资源、进行考古发掘以及开展集市贸易活动的处罚。</w:t>
            </w:r>
          </w:p>
        </w:tc>
        <w:tc>
          <w:tcPr>
            <w:tcW w:w="3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87D3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77FAAEBE">
        <w:tblPrEx>
          <w:tblCellMar>
            <w:top w:w="0" w:type="dxa"/>
            <w:left w:w="0" w:type="dxa"/>
            <w:bottom w:w="0" w:type="dxa"/>
            <w:right w:w="0" w:type="dxa"/>
          </w:tblCellMar>
        </w:tblPrEx>
        <w:trPr>
          <w:trHeight w:val="3020" w:hRule="atLeast"/>
        </w:trPr>
        <w:tc>
          <w:tcPr>
            <w:tcW w:w="216"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14:paraId="6EB520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6</w:t>
            </w:r>
            <w:r>
              <w:rPr>
                <w:rFonts w:hint="eastAsia" w:ascii="Times New Roman" w:hAnsi="Times New Roman" w:eastAsia="宋体" w:cs="Times New Roman"/>
                <w:i w:val="0"/>
                <w:color w:val="auto"/>
                <w:kern w:val="0"/>
                <w:sz w:val="24"/>
                <w:szCs w:val="24"/>
                <w:u w:val="none"/>
                <w:lang w:val="en-US" w:eastAsia="zh-CN" w:bidi="ar"/>
              </w:rPr>
              <w:t>4</w:t>
            </w:r>
          </w:p>
        </w:tc>
        <w:tc>
          <w:tcPr>
            <w:tcW w:w="1299"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A10A77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*对在堤防安全保护区内进行打井、钻探、爆破、挖筑鱼塘、采石、取土等危害堤防安全的活动的处罚。</w:t>
            </w:r>
          </w:p>
        </w:tc>
        <w:tc>
          <w:tcPr>
            <w:tcW w:w="3484" w:type="pc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29919C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1.立案；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2.调查取证；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3.案情分析与调查报告起草；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4.案件审理；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5.重大执法决定法制审核；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6.作出处理决定；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7.执行；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8.结案；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9.立卷归档。</w:t>
            </w:r>
          </w:p>
        </w:tc>
      </w:tr>
      <w:tr w14:paraId="2184148F">
        <w:tblPrEx>
          <w:tblCellMar>
            <w:top w:w="0" w:type="dxa"/>
            <w:left w:w="0" w:type="dxa"/>
            <w:bottom w:w="0" w:type="dxa"/>
            <w:right w:w="0" w:type="dxa"/>
          </w:tblCellMar>
        </w:tblPrEx>
        <w:trPr>
          <w:trHeight w:val="653"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604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注：1.根据清单工作整体部署将适时对清单内容进行修订。2.*标注事项为本镇所承担的执法事项。</w:t>
            </w:r>
          </w:p>
        </w:tc>
      </w:tr>
    </w:tbl>
    <w:p w14:paraId="7EB80CEB"/>
    <w:sectPr>
      <w:pgSz w:w="16783" w:h="11850" w:orient="landscape"/>
      <w:pgMar w:top="720" w:right="720" w:bottom="720" w:left="720" w:header="851" w:footer="39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72161A"/>
    <w:rsid w:val="12CA0B35"/>
    <w:rsid w:val="1D5C46A6"/>
    <w:rsid w:val="22FA3483"/>
    <w:rsid w:val="24D16B44"/>
    <w:rsid w:val="25240DCE"/>
    <w:rsid w:val="3A775372"/>
    <w:rsid w:val="494F656E"/>
    <w:rsid w:val="4A156F19"/>
    <w:rsid w:val="4CF02161"/>
    <w:rsid w:val="4F306091"/>
    <w:rsid w:val="6272161A"/>
    <w:rsid w:val="763D725A"/>
    <w:rsid w:val="F5FB2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8733</Words>
  <Characters>9216</Characters>
  <Lines>0</Lines>
  <Paragraphs>0</Paragraphs>
  <TotalTime>0</TotalTime>
  <ScaleCrop>false</ScaleCrop>
  <LinksUpToDate>false</LinksUpToDate>
  <CharactersWithSpaces>9216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2025-08-25T18:36:00Z</dcterms:created>
  <dc:creator>Administrator</dc:creator>
  <cp:lastModifiedBy>馨琪若</cp:lastModifiedBy>
  <dcterms:modified xsi:type="dcterms:W3CDTF">2025-08-29T11:24:42Z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27DD2BEAC0649C15E961B16850A77B94_42</vt:lpwstr>
  </property>
  <property fmtid="{D5CDD505-2E9C-101B-9397-08002B2CF9AE}" pid="4" name="KSOTemplateDocerSaveRecord">
    <vt:lpwstr>eyJoZGlkIjoiNWU1Zjc0MWM0N2FlNTZiZTc0ODU3MTNmZDExYWY3MWUiLCJ1c2VySWQiOiI2Njc0MjUzNjkifQ==</vt:lpwstr>
  </property>
</Properties>
</file>