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9" w:type="pct"/>
        <w:tblInd w:w="0" w:type="dxa"/>
        <w:shd w:val="clear" w:color="auto" w:fill="auto"/>
        <w:tblLayout w:type="autofit"/>
        <w:tblCellMar>
          <w:top w:w="0" w:type="dxa"/>
          <w:left w:w="0" w:type="dxa"/>
          <w:bottom w:w="0" w:type="dxa"/>
          <w:right w:w="0" w:type="dxa"/>
        </w:tblCellMar>
      </w:tblPr>
      <w:tblGrid>
        <w:gridCol w:w="910"/>
        <w:gridCol w:w="3191"/>
        <w:gridCol w:w="11324"/>
      </w:tblGrid>
      <w:tr w14:paraId="165DF520">
        <w:tblPrEx>
          <w:shd w:val="clear" w:color="auto" w:fill="auto"/>
          <w:tblCellMar>
            <w:top w:w="0" w:type="dxa"/>
            <w:left w:w="0" w:type="dxa"/>
            <w:bottom w:w="0" w:type="dxa"/>
            <w:right w:w="0" w:type="dxa"/>
          </w:tblCellMar>
        </w:tblPrEx>
        <w:trPr>
          <w:trHeight w:val="405" w:hRule="atLeast"/>
        </w:trPr>
        <w:tc>
          <w:tcPr>
            <w:tcW w:w="294" w:type="pct"/>
            <w:tcBorders>
              <w:top w:val="nil"/>
              <w:left w:val="nil"/>
              <w:bottom w:val="nil"/>
              <w:right w:val="nil"/>
            </w:tcBorders>
            <w:shd w:val="clear" w:color="auto" w:fill="auto"/>
            <w:noWrap/>
            <w:tcMar>
              <w:top w:w="15" w:type="dxa"/>
              <w:left w:w="15" w:type="dxa"/>
              <w:right w:w="15" w:type="dxa"/>
            </w:tcMar>
            <w:vAlign w:val="center"/>
          </w:tcPr>
          <w:p w14:paraId="177C84EE">
            <w:pPr>
              <w:keepNext w:val="0"/>
              <w:keepLines w:val="0"/>
              <w:widowControl/>
              <w:suppressLineNumbers w:val="0"/>
              <w:jc w:val="both"/>
              <w:textAlignment w:val="center"/>
              <w:rPr>
                <w:rFonts w:ascii="国标黑体" w:hAnsi="国标黑体" w:eastAsia="国标黑体" w:cs="国标黑体"/>
                <w:i w:val="0"/>
                <w:color w:val="000000"/>
                <w:sz w:val="32"/>
                <w:szCs w:val="32"/>
                <w:u w:val="none"/>
              </w:rPr>
            </w:pPr>
            <w:r>
              <w:rPr>
                <w:rFonts w:hint="eastAsia" w:ascii="黑体" w:hAnsi="黑体" w:eastAsia="黑体" w:cs="黑体"/>
                <w:i w:val="0"/>
                <w:color w:val="000000"/>
                <w:kern w:val="0"/>
                <w:sz w:val="32"/>
                <w:szCs w:val="32"/>
                <w:u w:val="none"/>
                <w:lang w:val="en-US" w:eastAsia="zh-CN" w:bidi="ar"/>
              </w:rPr>
              <w:t>附件3</w:t>
            </w:r>
          </w:p>
        </w:tc>
        <w:tc>
          <w:tcPr>
            <w:tcW w:w="1035" w:type="pct"/>
            <w:tcBorders>
              <w:top w:val="nil"/>
              <w:left w:val="nil"/>
              <w:bottom w:val="nil"/>
              <w:right w:val="nil"/>
            </w:tcBorders>
            <w:shd w:val="clear" w:color="auto" w:fill="auto"/>
            <w:noWrap/>
            <w:tcMar>
              <w:top w:w="15" w:type="dxa"/>
              <w:left w:w="15" w:type="dxa"/>
              <w:right w:w="15" w:type="dxa"/>
            </w:tcMar>
            <w:vAlign w:val="center"/>
          </w:tcPr>
          <w:p w14:paraId="5A6CB931">
            <w:pPr>
              <w:jc w:val="center"/>
              <w:rPr>
                <w:rFonts w:hint="eastAsia" w:ascii="宋体" w:hAnsi="宋体" w:eastAsia="宋体" w:cs="宋体"/>
                <w:i w:val="0"/>
                <w:color w:val="000000"/>
                <w:sz w:val="22"/>
                <w:szCs w:val="22"/>
                <w:u w:val="none"/>
              </w:rPr>
            </w:pPr>
          </w:p>
        </w:tc>
        <w:tc>
          <w:tcPr>
            <w:tcW w:w="3669" w:type="pct"/>
            <w:tcBorders>
              <w:top w:val="nil"/>
              <w:left w:val="nil"/>
              <w:bottom w:val="nil"/>
              <w:right w:val="nil"/>
            </w:tcBorders>
            <w:shd w:val="clear" w:color="auto" w:fill="auto"/>
            <w:noWrap/>
            <w:tcMar>
              <w:top w:w="15" w:type="dxa"/>
              <w:left w:w="15" w:type="dxa"/>
              <w:right w:w="15" w:type="dxa"/>
            </w:tcMar>
            <w:vAlign w:val="center"/>
          </w:tcPr>
          <w:p w14:paraId="412AC2FF">
            <w:pPr>
              <w:jc w:val="both"/>
              <w:rPr>
                <w:rFonts w:hint="eastAsia" w:ascii="宋体" w:hAnsi="宋体" w:eastAsia="宋体" w:cs="宋体"/>
                <w:i w:val="0"/>
                <w:color w:val="000000"/>
                <w:sz w:val="22"/>
                <w:szCs w:val="22"/>
                <w:u w:val="none"/>
              </w:rPr>
            </w:pPr>
          </w:p>
        </w:tc>
      </w:tr>
      <w:tr w14:paraId="180F84A8">
        <w:tblPrEx>
          <w:tblCellMar>
            <w:top w:w="0" w:type="dxa"/>
            <w:left w:w="0" w:type="dxa"/>
            <w:bottom w:w="0" w:type="dxa"/>
            <w:right w:w="0" w:type="dxa"/>
          </w:tblCellMar>
        </w:tblPrEx>
        <w:trPr>
          <w:trHeight w:val="570" w:hRule="atLeast"/>
        </w:trPr>
        <w:tc>
          <w:tcPr>
            <w:tcW w:w="5000" w:type="pct"/>
            <w:gridSpan w:val="3"/>
            <w:tcBorders>
              <w:top w:val="nil"/>
              <w:left w:val="nil"/>
              <w:bottom w:val="single" w:color="000000" w:sz="4" w:space="0"/>
              <w:right w:val="nil"/>
            </w:tcBorders>
            <w:shd w:val="clear" w:color="auto" w:fill="auto"/>
            <w:tcMar>
              <w:top w:w="15" w:type="dxa"/>
              <w:left w:w="15" w:type="dxa"/>
              <w:right w:w="15" w:type="dxa"/>
            </w:tcMar>
            <w:vAlign w:val="center"/>
          </w:tcPr>
          <w:p w14:paraId="66B13255">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鄂托克前旗敖勒召其镇上级部门收回事项清单</w:t>
            </w:r>
          </w:p>
        </w:tc>
      </w:tr>
      <w:tr w14:paraId="65493FF3">
        <w:tblPrEx>
          <w:tblCellMar>
            <w:top w:w="0" w:type="dxa"/>
            <w:left w:w="0" w:type="dxa"/>
            <w:bottom w:w="0" w:type="dxa"/>
            <w:right w:w="0" w:type="dxa"/>
          </w:tblCellMar>
        </w:tblPrEx>
        <w:trPr>
          <w:trHeight w:val="810" w:hRule="atLeast"/>
        </w:trPr>
        <w:tc>
          <w:tcPr>
            <w:tcW w:w="294"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ACD3E">
            <w:pPr>
              <w:keepNext w:val="0"/>
              <w:keepLines w:val="0"/>
              <w:widowControl/>
              <w:suppressLineNumbers w:val="0"/>
              <w:jc w:val="center"/>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1035"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5379B">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事项名称</w:t>
            </w:r>
          </w:p>
        </w:tc>
        <w:tc>
          <w:tcPr>
            <w:tcW w:w="3669"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53772">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承接部门及工作方式</w:t>
            </w:r>
          </w:p>
        </w:tc>
      </w:tr>
      <w:tr w14:paraId="2332EC74">
        <w:tblPrEx>
          <w:tblCellMar>
            <w:top w:w="0" w:type="dxa"/>
            <w:left w:w="0" w:type="dxa"/>
            <w:bottom w:w="0" w:type="dxa"/>
            <w:right w:w="0" w:type="dxa"/>
          </w:tblCellMar>
        </w:tblPrEx>
        <w:trPr>
          <w:trHeight w:val="37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55C8C">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一、民生服务（10项）</w:t>
            </w:r>
          </w:p>
        </w:tc>
      </w:tr>
      <w:tr w14:paraId="5DC3DDE3">
        <w:tblPrEx>
          <w:tblCellMar>
            <w:top w:w="0" w:type="dxa"/>
            <w:left w:w="0" w:type="dxa"/>
            <w:bottom w:w="0" w:type="dxa"/>
            <w:right w:w="0" w:type="dxa"/>
          </w:tblCellMar>
        </w:tblPrEx>
        <w:trPr>
          <w:trHeight w:val="33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B4E6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7A6F0">
            <w:pPr>
              <w:keepNext w:val="0"/>
              <w:keepLines w:val="0"/>
              <w:widowControl/>
              <w:suppressLineNumbers w:val="0"/>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适龄儿童、少年因身体状况需要延缓入学或者休学审批。</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E231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旗教育体育局：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一、中小学生休学流程：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1.由学生父母或其他法定监护人向所在学校提出申请（提供县级以上医疗机构证明、病历等材料）；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2.学校确认申请信息；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3.学校报学籍管理部门；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4.学籍管理部门核准;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5.休学期满后确需继续休学的，应重新申请办理。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二、幼儿园缓学（应入小学暂不入小学）流程：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1.家长到幼儿园提出缓学申请，幼儿园根据空余学位开具接受证明;</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2.根据幼儿园开具的接受证明，集中开具缓学证;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3.向幼儿园统一发放缓学证明。</w:t>
            </w:r>
          </w:p>
        </w:tc>
      </w:tr>
      <w:tr w14:paraId="34D03641">
        <w:tblPrEx>
          <w:tblCellMar>
            <w:top w:w="0" w:type="dxa"/>
            <w:left w:w="0" w:type="dxa"/>
            <w:bottom w:w="0" w:type="dxa"/>
            <w:right w:w="0" w:type="dxa"/>
          </w:tblCellMar>
        </w:tblPrEx>
        <w:trPr>
          <w:trHeight w:val="7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22EE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D39E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城乡居民基本医疗保险已缴费人员统计。</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2C9B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旗医疗保障局：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通过医保缴费系统统计城乡居民基本医疗保险缴费情况。</w:t>
            </w:r>
          </w:p>
        </w:tc>
      </w:tr>
      <w:tr w14:paraId="2D7E6F74">
        <w:tblPrEx>
          <w:tblCellMar>
            <w:top w:w="0" w:type="dxa"/>
            <w:left w:w="0" w:type="dxa"/>
            <w:bottom w:w="0" w:type="dxa"/>
            <w:right w:w="0" w:type="dxa"/>
          </w:tblCellMar>
        </w:tblPrEx>
        <w:trPr>
          <w:trHeight w:val="22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35F2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A9F3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农村牧区生活饮用水水质检测监督。</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A847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旗卫生健康委员会：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1.根据城乡供水实际情况，科学规划并设立水质监测点，实现广泛覆盖；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2.严格按照采样标准，定时定点采集出厂水、水源水及管网末梢水等水样，确保样品的代表性和完整性；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3.对采集的水样进行实验室检测，分析水质指标；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4.将检测结果及时上报至相关部门，并进行数据分析，全面掌握饮用水卫生安全现状；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5.按照相关规定，定期公开水质信息，接受社会监督，并对发现的问题进行及时反馈和处理。</w:t>
            </w:r>
          </w:p>
        </w:tc>
      </w:tr>
      <w:tr w14:paraId="0E58ED13">
        <w:tblPrEx>
          <w:tblCellMar>
            <w:top w:w="0" w:type="dxa"/>
            <w:left w:w="0" w:type="dxa"/>
            <w:bottom w:w="0" w:type="dxa"/>
            <w:right w:w="0" w:type="dxa"/>
          </w:tblCellMar>
        </w:tblPrEx>
        <w:trPr>
          <w:trHeight w:val="21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26B5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082D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违规多领取高龄补贴、最低生活保障、特困人员基本生活保障、残疾人两项补贴等民政补贴的追缴。</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4133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1.对日常工作、群众举报、上级交办或其他途径中发现疑似以虚报、隐瞒、伪造等手段，骗取社会救助资金的行为，决定是否立案；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违规领取行为，由民政局决定停止发放社会救助资金，联系相关镇对当事人信息进行确认，及时向当事人或其家属发出追缴通知，责令限期退回非法获取的救助资金，可根据情况和法律法规处以罚款，给予处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3.广泛宣传社会救助资金的发放政策，让公众了解违规领取的后果，增强其法律意识和诚信意识；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4.定期对补贴发放对象进行全面核查，核实相关信息的真实性和是否发生变化。</w:t>
            </w:r>
          </w:p>
        </w:tc>
      </w:tr>
      <w:tr w14:paraId="3100D33F">
        <w:tblPrEx>
          <w:tblCellMar>
            <w:top w:w="0" w:type="dxa"/>
            <w:left w:w="0" w:type="dxa"/>
            <w:bottom w:w="0" w:type="dxa"/>
            <w:right w:w="0" w:type="dxa"/>
          </w:tblCellMar>
        </w:tblPrEx>
        <w:trPr>
          <w:trHeight w:val="1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B762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77BA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违规领取社会保险金的追缴。</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C512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旗人力资源和社会保障局：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1.对日常工作、群众举报、上级交办或其他途径中发现疑似违规领取社会保险金的行为，决定是否立案；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违规领取行为，由人力资源和社会保障局决定停止发放社会保险金，联系所在镇对当事人信息进行确认，及时向当事人或其家属发出追缴通知，责令限期退回非法获取的社会保险金，处骗取金额二倍以上五倍以下的罚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3.广泛宣传社会保险金的发放政策，让公众了解违规领取的后果，增强其法律意识和诚信意识；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4.定期对社会保险金发放对象进行全面核查，核实相关信息的真实性和是否发生变化。</w:t>
            </w:r>
          </w:p>
        </w:tc>
      </w:tr>
      <w:tr w14:paraId="71E8EEDE">
        <w:tblPrEx>
          <w:tblCellMar>
            <w:top w:w="0" w:type="dxa"/>
            <w:left w:w="0" w:type="dxa"/>
            <w:bottom w:w="0" w:type="dxa"/>
            <w:right w:w="0" w:type="dxa"/>
          </w:tblCellMar>
        </w:tblPrEx>
        <w:trPr>
          <w:trHeight w:val="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51E1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6C83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残疾人临时救助资金审核发放。</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195A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1.对申请残疾人临时救助资料进行审核；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2.对符合条件的，批准并发放救助金。</w:t>
            </w:r>
          </w:p>
        </w:tc>
      </w:tr>
      <w:tr w14:paraId="79555D80">
        <w:tblPrEx>
          <w:tblCellMar>
            <w:top w:w="0" w:type="dxa"/>
            <w:left w:w="0" w:type="dxa"/>
            <w:bottom w:w="0" w:type="dxa"/>
            <w:right w:w="0" w:type="dxa"/>
          </w:tblCellMar>
        </w:tblPrEx>
        <w:trPr>
          <w:trHeight w:val="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5F5B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157D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残疾人康复补助办理。</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F3985">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1.对申请残疾人康复补助资料进行审核；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2.对符合条件的，批准并发放补助资金。</w:t>
            </w:r>
          </w:p>
        </w:tc>
      </w:tr>
      <w:tr w14:paraId="7332F3E3">
        <w:tblPrEx>
          <w:tblCellMar>
            <w:top w:w="0" w:type="dxa"/>
            <w:left w:w="0" w:type="dxa"/>
            <w:bottom w:w="0" w:type="dxa"/>
            <w:right w:w="0" w:type="dxa"/>
          </w:tblCellMar>
        </w:tblPrEx>
        <w:trPr>
          <w:trHeight w:val="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00F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4FD9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残疾人助听器适配补贴办理。</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4EDB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1.对申请残疾人助听器适配补贴资料进行审核；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2.对符合条件的，批准并发放补贴资金。</w:t>
            </w:r>
          </w:p>
        </w:tc>
      </w:tr>
      <w:tr w14:paraId="6ED013E5">
        <w:tblPrEx>
          <w:tblCellMar>
            <w:top w:w="0" w:type="dxa"/>
            <w:left w:w="0" w:type="dxa"/>
            <w:bottom w:w="0" w:type="dxa"/>
            <w:right w:w="0" w:type="dxa"/>
          </w:tblCellMar>
        </w:tblPrEx>
        <w:trPr>
          <w:trHeight w:val="11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D63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DD1F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义务兵家庭优待金申报工作。</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CE9E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1.按照义务兵家庭优待金文件确定发放金额以及人员信息；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2.录入“一卡通”清册（内蒙古财政民生服务信息平台）系统；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3.上报“一卡通”清册（内蒙古财政民生服务信息平台）。</w:t>
            </w:r>
          </w:p>
        </w:tc>
      </w:tr>
      <w:tr w14:paraId="1CED3258">
        <w:tblPrEx>
          <w:tblCellMar>
            <w:top w:w="0" w:type="dxa"/>
            <w:left w:w="0" w:type="dxa"/>
            <w:bottom w:w="0" w:type="dxa"/>
            <w:right w:w="0" w:type="dxa"/>
          </w:tblCellMar>
        </w:tblPrEx>
        <w:trPr>
          <w:trHeight w:val="1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EDDF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06D8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烈士陵园等红色教育基地修缮维护工作。</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9BD9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旗退役军人事务局：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1.定期对烈士陵园等红色教育基地进行排查；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2.对排查发现的破损情况进行修缮维护。</w:t>
            </w:r>
          </w:p>
        </w:tc>
      </w:tr>
      <w:tr w14:paraId="4F9B89C6">
        <w:tblPrEx>
          <w:tblCellMar>
            <w:top w:w="0" w:type="dxa"/>
            <w:left w:w="0" w:type="dxa"/>
            <w:bottom w:w="0" w:type="dxa"/>
            <w:right w:w="0" w:type="dxa"/>
          </w:tblCellMar>
        </w:tblPrEx>
        <w:trPr>
          <w:trHeight w:val="4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E9B6C">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二、平安法治（8项）</w:t>
            </w:r>
          </w:p>
        </w:tc>
      </w:tr>
      <w:tr w14:paraId="0A1F6F48">
        <w:tblPrEx>
          <w:tblCellMar>
            <w:top w:w="0" w:type="dxa"/>
            <w:left w:w="0" w:type="dxa"/>
            <w:bottom w:w="0" w:type="dxa"/>
            <w:right w:w="0" w:type="dxa"/>
          </w:tblCellMar>
        </w:tblPrEx>
        <w:trPr>
          <w:trHeight w:val="6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D52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7D55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办理涉法涉诉信访案件。</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D74C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旗委政法委：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在接收到涉法涉诉信访案件后，依法进行调查核实，并依据相关法律法规和政策规定，对信访人的诉求进行答复和处理。</w:t>
            </w:r>
          </w:p>
        </w:tc>
      </w:tr>
      <w:tr w14:paraId="68788E13">
        <w:tblPrEx>
          <w:tblCellMar>
            <w:top w:w="0" w:type="dxa"/>
            <w:left w:w="0" w:type="dxa"/>
            <w:bottom w:w="0" w:type="dxa"/>
            <w:right w:w="0" w:type="dxa"/>
          </w:tblCellMar>
        </w:tblPrEx>
        <w:trPr>
          <w:trHeight w:val="6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9E7A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CED7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建设微型消防站。</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D5FD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指导嘎查村（社区）按需求建设微型消防站。</w:t>
            </w:r>
          </w:p>
        </w:tc>
      </w:tr>
      <w:tr w14:paraId="3B46C87B">
        <w:tblPrEx>
          <w:tblCellMar>
            <w:top w:w="0" w:type="dxa"/>
            <w:left w:w="0" w:type="dxa"/>
            <w:bottom w:w="0" w:type="dxa"/>
            <w:right w:w="0" w:type="dxa"/>
          </w:tblCellMar>
        </w:tblPrEx>
        <w:trPr>
          <w:trHeight w:val="20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F228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21C5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特种设备事故调查处理。</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FBC4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1.迅速响应事故报告，第一时间抵达事故现场，保护现场完整，开展细致勘查，留存影像、物证等关键资料；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2.全面深入调查，访谈涉事人员，查阅运行记录、维护档案等资料，借助专业检测、技术鉴定等手段，精准剖析事故原因；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3.依据法律法规和调查结果，科学判定事故性质，明确划分责任，对责任单位和个人提出处理意见；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4.系统总结事故教训，形成详实调查报告，向社会和行业通报，提出针对性强的安全防范和整改建议，督促相关单位落实。</w:t>
            </w:r>
          </w:p>
        </w:tc>
      </w:tr>
      <w:tr w14:paraId="1F4ACA24">
        <w:tblPrEx>
          <w:tblCellMar>
            <w:top w:w="0" w:type="dxa"/>
            <w:left w:w="0" w:type="dxa"/>
            <w:bottom w:w="0" w:type="dxa"/>
            <w:right w:w="0" w:type="dxa"/>
          </w:tblCellMar>
        </w:tblPrEx>
        <w:trPr>
          <w:trHeight w:val="16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DA41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7F20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特种设备事故应急处置。</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6246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1.结合地区实际，制定特种设备的应急预案，明确应急组织机构、职责分工、响应程序等关键内容，并定期修订完善；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2.组织并督促实施应急演练，提升部门协同、人员实操能力，确保在事故发生时，能快速反应，高效调配应急救援资源；</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3.事故发生后，立即启动应急响应，组织专业救援力量抢险救援，同时做好现场警戒、人员疏散等工作，防止次生灾害；</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4.及时、准确发布事故信息，回应社会关切，做好舆论引导，事故结束后，对处置过程复盘评估，改进不足。</w:t>
            </w:r>
          </w:p>
        </w:tc>
      </w:tr>
      <w:tr w14:paraId="44E5FDA6">
        <w:tblPrEx>
          <w:tblCellMar>
            <w:top w:w="0" w:type="dxa"/>
            <w:left w:w="0" w:type="dxa"/>
            <w:bottom w:w="0" w:type="dxa"/>
            <w:right w:w="0" w:type="dxa"/>
          </w:tblCellMar>
        </w:tblPrEx>
        <w:trPr>
          <w:trHeight w:val="24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BD01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B8C8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特种设备安全监督检查。</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4E1A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1.科学编制监督检查计划，综合考虑特种设备数量、分布、使用频率等因素，确定检查重点、范围和周期；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2.详细检查使用单位安全管理情况，包括安全管理制度建立与执行、安全管理人员配备与履职、应急救援预案制定与演练等；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3.严格核查特种设备本身状况，如是否办理使用登记、是否在检验有效期内、安全附件和保护装置是否灵敏可靠、运行参数是否正常等；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4.依法依规查处违规行为，对存在安全隐患的单位下达特种设备安全监察指令，跟踪整改落实情况，对拒不整改或整改不到位的实施行政处罚。</w:t>
            </w:r>
          </w:p>
        </w:tc>
      </w:tr>
      <w:tr w14:paraId="2EB17DF5">
        <w:tblPrEx>
          <w:tblCellMar>
            <w:top w:w="0" w:type="dxa"/>
            <w:left w:w="0" w:type="dxa"/>
            <w:bottom w:w="0" w:type="dxa"/>
            <w:right w:w="0" w:type="dxa"/>
          </w:tblCellMar>
        </w:tblPrEx>
        <w:trPr>
          <w:trHeight w:val="19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B098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7AE9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电梯安全监督检查。</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29C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1.按照规定频次对辖区内各类电梯开展现场检查；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2.检查电梯维保单位维保工作质量，包括维保计划执行、维保记录规范、故障处理及时性等方面；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3.督促电梯使用单位落实安全管理主体责任，如落实“日管控、周排查、月调度”工作制度情况、设置安全管理机构或人员、建立安全技术档案等；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4.及时处理电梯相关投诉举报，快速组织调查核实，对存在问题的电梯依法采取停止使用等措施，消除安全隐患。</w:t>
            </w:r>
          </w:p>
        </w:tc>
      </w:tr>
      <w:tr w14:paraId="4A872460">
        <w:tblPrEx>
          <w:tblCellMar>
            <w:top w:w="0" w:type="dxa"/>
            <w:left w:w="0" w:type="dxa"/>
            <w:bottom w:w="0" w:type="dxa"/>
            <w:right w:w="0" w:type="dxa"/>
          </w:tblCellMar>
        </w:tblPrEx>
        <w:trPr>
          <w:trHeight w:val="12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0CF8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22DD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危险化学品领域安全检查。</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8D4F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1.结合实际情况，制定对各重点行业领域的安全隐患排查的方案；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2.联合有关部门对各个领域进行安全隐患排查工作，并做好相关检查台账；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3.对检查出的安全隐患问题进行整改。</w:t>
            </w:r>
          </w:p>
        </w:tc>
      </w:tr>
      <w:tr w14:paraId="76C01650">
        <w:tblPrEx>
          <w:tblCellMar>
            <w:top w:w="0" w:type="dxa"/>
            <w:left w:w="0" w:type="dxa"/>
            <w:bottom w:w="0" w:type="dxa"/>
            <w:right w:w="0" w:type="dxa"/>
          </w:tblCellMar>
        </w:tblPrEx>
        <w:trPr>
          <w:trHeight w:val="12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227C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B3A8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烟花爆竹经营企业的安全监督检查。</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4ECDD">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1.结合实际情况，制定安全隐患排查的方案；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2.联合有关部门进行安全隐患排查工作，并做好相关检查台账；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3.对检查出的安全隐患问题进行整改。</w:t>
            </w:r>
          </w:p>
        </w:tc>
      </w:tr>
      <w:tr w14:paraId="552E960D">
        <w:tblPrEx>
          <w:tblCellMar>
            <w:top w:w="0" w:type="dxa"/>
            <w:left w:w="0" w:type="dxa"/>
            <w:bottom w:w="0" w:type="dxa"/>
            <w:right w:w="0" w:type="dxa"/>
          </w:tblCellMar>
        </w:tblPrEx>
        <w:trPr>
          <w:trHeight w:val="601"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812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8"/>
                <w:szCs w:val="28"/>
                <w:u w:val="none"/>
                <w:lang w:val="en-US" w:eastAsia="zh-CN" w:bidi="ar"/>
              </w:rPr>
              <w:t>三、乡村振兴（9项）</w:t>
            </w:r>
          </w:p>
        </w:tc>
      </w:tr>
      <w:tr w14:paraId="63299550">
        <w:tblPrEx>
          <w:tblCellMar>
            <w:top w:w="0" w:type="dxa"/>
            <w:left w:w="0" w:type="dxa"/>
            <w:bottom w:w="0" w:type="dxa"/>
            <w:right w:w="0" w:type="dxa"/>
          </w:tblCellMar>
        </w:tblPrEx>
        <w:trPr>
          <w:trHeight w:val="15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9AC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7EC5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设施农业用地备案。</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57DAF">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1.由用地主体提出设施用地申请；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2.对选址情况进行审核；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3.告知申请人设施用地办理情况；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4.核对资料后出具备案意见。</w:t>
            </w:r>
          </w:p>
        </w:tc>
      </w:tr>
      <w:tr w14:paraId="188D8F60">
        <w:tblPrEx>
          <w:tblCellMar>
            <w:top w:w="0" w:type="dxa"/>
            <w:left w:w="0" w:type="dxa"/>
            <w:bottom w:w="0" w:type="dxa"/>
            <w:right w:w="0" w:type="dxa"/>
          </w:tblCellMar>
        </w:tblPrEx>
        <w:trPr>
          <w:trHeight w:val="17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4E5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3977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管辖水库的降等、报废和安全管理工作。</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52D94">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1.负责对所管辖的水库进行监督检查；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2.对需要降等、报废的水库进行论证；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3.根据审批权限审批；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4.负责对审批后降等、报废的水库实施各项措施。</w:t>
            </w:r>
          </w:p>
        </w:tc>
      </w:tr>
      <w:tr w14:paraId="63E176E4">
        <w:tblPrEx>
          <w:tblCellMar>
            <w:top w:w="0" w:type="dxa"/>
            <w:left w:w="0" w:type="dxa"/>
            <w:bottom w:w="0" w:type="dxa"/>
            <w:right w:w="0" w:type="dxa"/>
          </w:tblCellMar>
        </w:tblPrEx>
        <w:trPr>
          <w:trHeight w:val="33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D1E2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D55B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bookmarkStart w:id="0" w:name="_GoBack"/>
            <w:r>
              <w:rPr>
                <w:rFonts w:hint="eastAsia" w:ascii="仿宋_GB2312" w:hAnsi="宋体" w:eastAsia="仿宋_GB2312" w:cs="仿宋_GB2312"/>
                <w:i w:val="0"/>
                <w:color w:val="000000"/>
                <w:kern w:val="0"/>
                <w:sz w:val="24"/>
                <w:szCs w:val="24"/>
                <w:u w:val="none"/>
                <w:lang w:val="en-US" w:eastAsia="zh-CN" w:bidi="ar"/>
              </w:rPr>
              <w:t>日常</w:t>
            </w:r>
            <w:bookmarkEnd w:id="0"/>
            <w:r>
              <w:rPr>
                <w:rFonts w:hint="eastAsia" w:ascii="仿宋_GB2312" w:hAnsi="宋体" w:eastAsia="仿宋_GB2312" w:cs="仿宋_GB2312"/>
                <w:i w:val="0"/>
                <w:color w:val="000000"/>
                <w:kern w:val="0"/>
                <w:sz w:val="24"/>
                <w:szCs w:val="24"/>
                <w:u w:val="none"/>
                <w:lang w:val="en-US" w:eastAsia="zh-CN" w:bidi="ar"/>
              </w:rPr>
              <w:t>动物疫情信息采集。</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D70E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1.收集相关动物的病历记录，包括发病时间、症状、诊断结果等，以及疫病在动物群体中的传播情况；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2.对疫情发生地进行实地观察，记录动物的行为、体征等异常情况；</w:t>
            </w:r>
          </w:p>
          <w:p w14:paraId="1AD7E5D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3.根据不同动物种类和采样需求，选择合适的采样方法采集样品；</w:t>
            </w:r>
          </w:p>
          <w:p w14:paraId="4D83CD9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4.在确认疫情后，及时向公众发布疫情信息，包括疫情类型、发生地、影响范围等；</w:t>
            </w:r>
          </w:p>
          <w:p w14:paraId="0EC9AF9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5.加强疫情知识的宣传和教育，提高公众对动物疫情的认识和防范意识。</w:t>
            </w:r>
          </w:p>
        </w:tc>
      </w:tr>
      <w:tr w14:paraId="76B42654">
        <w:tblPrEx>
          <w:tblCellMar>
            <w:top w:w="0" w:type="dxa"/>
            <w:left w:w="0" w:type="dxa"/>
            <w:bottom w:w="0" w:type="dxa"/>
            <w:right w:w="0" w:type="dxa"/>
          </w:tblCellMar>
        </w:tblPrEx>
        <w:trPr>
          <w:trHeight w:val="11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CEC0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A65F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动物检疫。</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339E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1.开展动物检疫工作；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2.开展检疫监管工作。</w:t>
            </w:r>
          </w:p>
        </w:tc>
      </w:tr>
      <w:tr w14:paraId="7AC29F50">
        <w:tblPrEx>
          <w:tblCellMar>
            <w:top w:w="0" w:type="dxa"/>
            <w:left w:w="0" w:type="dxa"/>
            <w:bottom w:w="0" w:type="dxa"/>
            <w:right w:w="0" w:type="dxa"/>
          </w:tblCellMar>
        </w:tblPrEx>
        <w:trPr>
          <w:trHeight w:val="13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CF5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13BD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屠宰检疫。</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E48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1.负责动物屠宰相关活动的监督管理工作；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2.负责对屠宰动物、动物产品实施检疫，检疫合格的，出具检疫证明、加施检疫标志；</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3.建立定点屠宰厂（场）信用档案，记录日常监督检查等情况。</w:t>
            </w:r>
          </w:p>
        </w:tc>
      </w:tr>
      <w:tr w14:paraId="3218F3F5">
        <w:tblPrEx>
          <w:tblCellMar>
            <w:top w:w="0" w:type="dxa"/>
            <w:left w:w="0" w:type="dxa"/>
            <w:bottom w:w="0" w:type="dxa"/>
            <w:right w:w="0" w:type="dxa"/>
          </w:tblCellMar>
        </w:tblPrEx>
        <w:trPr>
          <w:trHeight w:val="17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818E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9F90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农药日常监管及生产经营存在问题的处置。</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5E7A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1.完善监管制度和机制；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2.对辖区内的农药生产和经营单位进行定期和不定期的监督检查，确保农药的生产经营活动符合相关法律法规的要求；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3.对农药生产经营单位存在违法违规行为依法进行查处；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4.开展农药安全宣传和培训，提高农药生产经营者和使用者的安全意识和法律意识。</w:t>
            </w:r>
          </w:p>
        </w:tc>
      </w:tr>
      <w:tr w14:paraId="79DC1577">
        <w:tblPrEx>
          <w:tblCellMar>
            <w:top w:w="0" w:type="dxa"/>
            <w:left w:w="0" w:type="dxa"/>
            <w:bottom w:w="0" w:type="dxa"/>
            <w:right w:w="0" w:type="dxa"/>
          </w:tblCellMar>
        </w:tblPrEx>
        <w:trPr>
          <w:trHeight w:val="17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1118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FFC5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肥料日常监管及生产经营存在问题的处置。</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7F4C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1.完善监管制度和机制；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2.对辖区内的肥料生产和经营单位进行定期和不定期的监督检查，确保肥料的生产经营活动符合相关法律法规的要求；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3.对肥料生产经营单位存在违法违规行为依法进行查处；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4.开展肥料安全宣传和培训，提高肥料生产经营者和使用者的安全意识和法律意识。</w:t>
            </w:r>
          </w:p>
        </w:tc>
      </w:tr>
      <w:tr w14:paraId="26B1CD82">
        <w:tblPrEx>
          <w:tblCellMar>
            <w:top w:w="0" w:type="dxa"/>
            <w:left w:w="0" w:type="dxa"/>
            <w:bottom w:w="0" w:type="dxa"/>
            <w:right w:w="0" w:type="dxa"/>
          </w:tblCellMar>
        </w:tblPrEx>
        <w:trPr>
          <w:trHeight w:val="40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15EC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D287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开展种子执法监督，依法惩处侵害种子使用者、生产经营者权益和侵犯植物新品种权的违法行为。</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E23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一、行政执法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1.进入种子生产、经营、使用等场所进行现场检查，了解种子的生产、质量、销售等情况；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2.对涉嫌违法违规的种子进行抽样检查，包括种子的品种、质量、标签、包装等；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3.对相关人员进行询问，调查种子的来源、去向、销售情况等，以获取必要的证据；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4.查阅、复制与种子生产、经营、使用等相关的资料，如生产记录、销售台账、质量检验报告等；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5.查封、扣押有证据证明违法生产经营的种子，以及用于违法生产经营的工具、设备及运输工具等；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6.对于发现的违法违规行为，责令相关单位或个人立即整改，消除违法状态；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7.对于拒不整改或整改不到位的，依法进行处罚，包括警告、罚款、吊销许可证等。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二、处理侵权纠纷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1.接受种子使用者、生产经营者及植物新品种权所有人的投诉，对侵犯其合法权益的行为进行调查处理；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2.在双方当事人自愿的基础上，对侵犯植物新品种权所造成的损害赔偿进行调解；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3.对于侵犯植物新品种权的行为，责令侵权人停止侵权行为，没收违法所得和种子，并依法进行罚款。</w:t>
            </w:r>
          </w:p>
        </w:tc>
      </w:tr>
      <w:tr w14:paraId="5DCC60AE">
        <w:tblPrEx>
          <w:shd w:val="clear" w:color="auto" w:fill="auto"/>
          <w:tblCellMar>
            <w:top w:w="0" w:type="dxa"/>
            <w:left w:w="0" w:type="dxa"/>
            <w:bottom w:w="0" w:type="dxa"/>
            <w:right w:w="0" w:type="dxa"/>
          </w:tblCellMar>
        </w:tblPrEx>
        <w:trPr>
          <w:trHeight w:val="306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6C83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7DDF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*对城市市区内饲养家禽家畜的处罚。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7C10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D7AA629">
        <w:tblPrEx>
          <w:tblCellMar>
            <w:top w:w="0" w:type="dxa"/>
            <w:left w:w="0" w:type="dxa"/>
            <w:bottom w:w="0" w:type="dxa"/>
            <w:right w:w="0" w:type="dxa"/>
          </w:tblCellMar>
        </w:tblPrEx>
        <w:trPr>
          <w:trHeight w:val="50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6C7B6">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四、城乡建设（21项）</w:t>
            </w:r>
          </w:p>
        </w:tc>
      </w:tr>
      <w:tr w14:paraId="694D1E0B">
        <w:tblPrEx>
          <w:tblCellMar>
            <w:top w:w="0" w:type="dxa"/>
            <w:left w:w="0" w:type="dxa"/>
            <w:bottom w:w="0" w:type="dxa"/>
            <w:right w:w="0" w:type="dxa"/>
          </w:tblCellMar>
        </w:tblPrEx>
        <w:trPr>
          <w:trHeight w:val="18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E4A0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9DB5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辖区乡道、村道建设工作。</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3E4E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1.负责加强乡道村道的日常建设及项目建设计划上报、资金争取、手续办理等；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2.负责公路病害的巡查、发现、报告、处置及修复工作；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3.负责对镇上报的安全隐患的路段组织相关单位进行实地调查了解情况，对确需整改的路段进行施工设计并组织施工整改；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4.负责修复工程的施工、质量监督及验收工作。</w:t>
            </w:r>
          </w:p>
        </w:tc>
      </w:tr>
      <w:tr w14:paraId="10FF4671">
        <w:tblPrEx>
          <w:tblCellMar>
            <w:top w:w="0" w:type="dxa"/>
            <w:left w:w="0" w:type="dxa"/>
            <w:bottom w:w="0" w:type="dxa"/>
            <w:right w:w="0" w:type="dxa"/>
          </w:tblCellMar>
        </w:tblPrEx>
        <w:trPr>
          <w:trHeight w:val="1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2AB8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29</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E77A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开展宅基地使用权及房屋所有权登记。</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7E6A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1.明确申请条件与主体；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2.提供申请材料清单；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3.规范办理流程；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4.优化服务方式；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5.加强监管与指导。</w:t>
            </w:r>
          </w:p>
        </w:tc>
      </w:tr>
      <w:tr w14:paraId="7723BB68">
        <w:tblPrEx>
          <w:tblCellMar>
            <w:top w:w="0" w:type="dxa"/>
            <w:left w:w="0" w:type="dxa"/>
            <w:bottom w:w="0" w:type="dxa"/>
            <w:right w:w="0" w:type="dxa"/>
          </w:tblCellMar>
        </w:tblPrEx>
        <w:trPr>
          <w:trHeight w:val="16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7C3B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30</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EBB0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负责对流动商贩进行巡查监管、取缔违法摊点。</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E32A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旗城市管理综合行政执法局：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1.负责对敖勒召其镇城镇规划区内的流动商贩进行巡查监管、取缔违法摊点；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2.对从业人员采集监管信息、规范经营设施和卫生细节等。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出台食品摊贩、小餐饮备案登记管理实施方案，制定审查细则，全面规范食品流动摊贩经营行为。</w:t>
            </w:r>
          </w:p>
        </w:tc>
      </w:tr>
      <w:tr w14:paraId="4430B082">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6346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1853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*对未在城市道路施工现场设置明显标志和安全防围设施的处罚。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7829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59453B6">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4FD3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F3B0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*对依附于城市道路建设各种管线、杆线等设施，不按照规定办理批准手续的处罚。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5FCC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A5E0031">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44C3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4F81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*对在城市建筑物、设施以及树木上涂写、刻画或者未经批准张挂、张贴宣传品等的处罚。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0753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5C31320">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37DD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11E0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*对物业服务企业将一个物业管理区域内的全部物业管理一并委托给他人的处罚。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F521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DB7ECF0">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25B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A531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*对未经业主大会同意，物业服务企业擅自改变物业管理用房的用途的处罚。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B15B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DB839CE">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AB11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B232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*对擅自改变物业管理区域内按照规划建设的公共建筑和共用设施用途的处罚。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01FF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D3D1040">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7DD0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646E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*对擅自占用、挖掘物业管理区域内道路、场地，损害业主共同利益的处罚。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C26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3667FBD">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1797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F87E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*对擅自利用物业共用部位、共用设施设备进行经营的处罚。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2974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A658796">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714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39</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5BF0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*对建设单位、物业服务企业不移交有关物业管理资料的处罚。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7AE9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6277FFE">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C7C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0</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E305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*对占用城市道路期满或者挖掘城市道路后，不及时清理现场的处罚。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1FE7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6012ED6">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A2E1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EB5C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*对紧急抢修埋设在城市道路下的管线，不按照规定补办批准手续的处罚。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07CE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6CC3338">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0BF8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2AD0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*未对设在城市道路上的各种管线的检查井、箱盖或者城市道路附属设施的缺损及时补缺或者修复的处罚。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7560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42EBE3A">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7B57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481D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*对未按照批准的位置、面积、期限占用或者挖掘城市道路，或者需要移动位置、扩大面积、延长时间的，未提前办理变更审批手续的处罚。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CE4C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5511141">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1FF2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2EB4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*对在城市人民政府规定的街道的临街建筑物的阳台和窗外，堆放、吊挂有碍市容的物品的处罚。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1296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5E140A6">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8C9F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16BA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7C3C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0D03144">
        <w:tblPrEx>
          <w:tblCellMar>
            <w:top w:w="0" w:type="dxa"/>
            <w:left w:w="0" w:type="dxa"/>
            <w:bottom w:w="0" w:type="dxa"/>
            <w:right w:w="0" w:type="dxa"/>
          </w:tblCellMar>
        </w:tblPrEx>
        <w:trPr>
          <w:trHeight w:val="30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F490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A6610">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*对擅自设置大型户外广告标牌设施，影响市容的处罚。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274B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5497F40">
        <w:tblPrEx>
          <w:tblCellMar>
            <w:top w:w="0" w:type="dxa"/>
            <w:left w:w="0" w:type="dxa"/>
            <w:bottom w:w="0" w:type="dxa"/>
            <w:right w:w="0" w:type="dxa"/>
          </w:tblCellMar>
        </w:tblPrEx>
        <w:trPr>
          <w:trHeight w:val="28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966A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D460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*对擅自在街道两侧和公共场地堆放物料，搭建建筑物、构筑物或者其他设施，影响市容的处罚。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43829">
            <w:pPr>
              <w:keepNext w:val="0"/>
              <w:keepLines w:val="0"/>
              <w:widowControl/>
              <w:suppressLineNumbers w:val="0"/>
              <w:jc w:val="both"/>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旗住房和城乡建设局：</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1.立案；</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2.调查取证；</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3.案情分析与调查报告起草；</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4.案件审理；</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5.重大执法决定法制审核；</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6.作出处理决定；</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7.执行；</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8.结案；</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9.立卷归档。</w:t>
            </w:r>
          </w:p>
        </w:tc>
      </w:tr>
      <w:tr w14:paraId="1D6EE0B4">
        <w:tblPrEx>
          <w:tblCellMar>
            <w:top w:w="0" w:type="dxa"/>
            <w:left w:w="0" w:type="dxa"/>
            <w:bottom w:w="0" w:type="dxa"/>
            <w:right w:w="0" w:type="dxa"/>
          </w:tblCellMar>
        </w:tblPrEx>
        <w:trPr>
          <w:trHeight w:val="2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05CC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8043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*对擅自停止使用取退水计量设施的处罚。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D6FDC">
            <w:pPr>
              <w:keepNext w:val="0"/>
              <w:keepLines w:val="0"/>
              <w:widowControl/>
              <w:suppressLineNumbers w:val="0"/>
              <w:jc w:val="both"/>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旗农牧和水利局：</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1.立案；</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2.调查取证；</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3.案情分析与调查报告起草；</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4.案件审理；</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5.重大执法决定法制审核；</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6.作出处理决定；</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7.执行；</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8.结案；</w:t>
            </w:r>
            <w:r>
              <w:rPr>
                <w:rFonts w:hint="eastAsia" w:ascii="仿宋_GB2312" w:hAnsi="宋体" w:eastAsia="仿宋_GB2312" w:cs="仿宋_GB2312"/>
                <w:i w:val="0"/>
                <w:color w:val="000000"/>
                <w:kern w:val="0"/>
                <w:sz w:val="22"/>
                <w:szCs w:val="22"/>
                <w:u w:val="none"/>
                <w:lang w:val="en-US" w:eastAsia="zh-CN" w:bidi="ar"/>
              </w:rPr>
              <w:br w:type="textWrapping"/>
            </w:r>
            <w:r>
              <w:rPr>
                <w:rFonts w:hint="eastAsia" w:ascii="仿宋_GB2312" w:hAnsi="宋体" w:eastAsia="仿宋_GB2312" w:cs="仿宋_GB2312"/>
                <w:i w:val="0"/>
                <w:color w:val="000000"/>
                <w:kern w:val="0"/>
                <w:sz w:val="22"/>
                <w:szCs w:val="22"/>
                <w:u w:val="none"/>
                <w:lang w:val="en-US" w:eastAsia="zh-CN" w:bidi="ar"/>
              </w:rPr>
              <w:t>9.立卷归档。</w:t>
            </w:r>
          </w:p>
        </w:tc>
      </w:tr>
      <w:tr w14:paraId="0F7439F3">
        <w:tblPrEx>
          <w:tblCellMar>
            <w:top w:w="0" w:type="dxa"/>
            <w:left w:w="0" w:type="dxa"/>
            <w:bottom w:w="0" w:type="dxa"/>
            <w:right w:w="0" w:type="dxa"/>
          </w:tblCellMar>
        </w:tblPrEx>
        <w:trPr>
          <w:trHeight w:val="375"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8289A">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五、生态环保（19项）</w:t>
            </w:r>
          </w:p>
        </w:tc>
      </w:tr>
      <w:tr w14:paraId="3BF95518">
        <w:tblPrEx>
          <w:tblCellMar>
            <w:top w:w="0" w:type="dxa"/>
            <w:left w:w="0" w:type="dxa"/>
            <w:bottom w:w="0" w:type="dxa"/>
            <w:right w:w="0" w:type="dxa"/>
          </w:tblCellMar>
        </w:tblPrEx>
        <w:trPr>
          <w:trHeight w:val="10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5DE7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3D54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土地卫片疑似违法违规图斑的核查。</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F68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1.接收上级下发的图斑数据；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2.开展外业核查及内业填报工作。</w:t>
            </w:r>
          </w:p>
        </w:tc>
      </w:tr>
      <w:tr w14:paraId="691EA2C9">
        <w:tblPrEx>
          <w:tblCellMar>
            <w:top w:w="0" w:type="dxa"/>
            <w:left w:w="0" w:type="dxa"/>
            <w:bottom w:w="0" w:type="dxa"/>
            <w:right w:w="0" w:type="dxa"/>
          </w:tblCellMar>
        </w:tblPrEx>
        <w:trPr>
          <w:trHeight w:val="3454"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6190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0</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382E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对禁牧区违规搭建圈舍的拆除。</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48C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1.通过日常巡查、群众举报、卫星遥感监测等多种方式，发现在禁牧区违规搭建圈舍问题；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2.对违规搭建圈舍的情况进行调查取证，包括现场勘察、拍照、测量、询问当事人等，获取圈舍的位置、面积、结构、建造时间、用途以及当事人的基本信息等证据，并制作相关笔录和勘察报告；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3.依据《中华人民共和国草原法》《内蒙古自治区草畜平衡和禁牧休牧条例》《内蒙古自治区基本草原保护条例》等相关法律法规，对所调查的圈舍是否属于违法建筑进行认定；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4.经认定为违法建筑后，出具《责令限期拆除违法建筑决定书》,明确告知当事人其圈舍属于违法建筑，要求其在规定的期限内自行拆除；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5.将《责令限期拆除决定书》依法送达当事人，并由接收人签字确认；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6.逾期未拆除的，作出强制拆除决定，并进行强制拆除；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7.拆除完成后，对拆除现场进行清理和检查，防止出现安全隐患；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8.加强对禁牧区的后续监管，防止类似的违规搭建行为再次发生。</w:t>
            </w:r>
          </w:p>
        </w:tc>
      </w:tr>
      <w:tr w14:paraId="1D48D98C">
        <w:tblPrEx>
          <w:shd w:val="clear" w:color="auto" w:fill="auto"/>
          <w:tblCellMar>
            <w:top w:w="0" w:type="dxa"/>
            <w:left w:w="0" w:type="dxa"/>
            <w:bottom w:w="0" w:type="dxa"/>
            <w:right w:w="0" w:type="dxa"/>
          </w:tblCellMar>
        </w:tblPrEx>
        <w:trPr>
          <w:trHeight w:val="2767"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E82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B597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*责令农村村民退还未经批准或者采取欺骗手段骗取批准，非法占用土地建住宅的土地，并责令拆除非法占用土地上新建的房屋。</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B8D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8FB6E57">
        <w:tblPrEx>
          <w:tblCellMar>
            <w:top w:w="0" w:type="dxa"/>
            <w:left w:w="0" w:type="dxa"/>
            <w:bottom w:w="0" w:type="dxa"/>
            <w:right w:w="0" w:type="dxa"/>
          </w:tblCellMar>
        </w:tblPrEx>
        <w:trPr>
          <w:trHeight w:val="214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5E08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68C0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*对擅自在草原上开展经营性旅游活动，破坏草原植被的处罚。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C85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p>
          <w:p w14:paraId="1D9D01E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CEB1354">
        <w:tblPrEx>
          <w:tblCellMar>
            <w:top w:w="0" w:type="dxa"/>
            <w:left w:w="0" w:type="dxa"/>
            <w:bottom w:w="0" w:type="dxa"/>
            <w:right w:w="0" w:type="dxa"/>
          </w:tblCellMar>
        </w:tblPrEx>
        <w:trPr>
          <w:trHeight w:val="328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C9D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4BCD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lang w:val="en-US" w:eastAsia="zh-CN"/>
              </w:rPr>
              <w:t>*对买卖或者以其他形式非法转让草原的处罚</w:t>
            </w:r>
            <w:r>
              <w:rPr>
                <w:rFonts w:hint="eastAsia" w:ascii="仿宋_GB2312" w:hAnsi="宋体" w:eastAsia="仿宋_GB2312" w:cs="仿宋_GB2312"/>
                <w:i w:val="0"/>
                <w:color w:val="000000"/>
                <w:kern w:val="0"/>
                <w:sz w:val="24"/>
                <w:szCs w:val="24"/>
                <w:u w:val="none"/>
                <w:lang w:val="en-US" w:eastAsia="zh-CN" w:bidi="ar"/>
              </w:rPr>
              <w:t>。</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CFAC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97DC7C5">
        <w:tblPrEx>
          <w:tblCellMar>
            <w:top w:w="0" w:type="dxa"/>
            <w:left w:w="0" w:type="dxa"/>
            <w:bottom w:w="0" w:type="dxa"/>
            <w:right w:w="0" w:type="dxa"/>
          </w:tblCellMar>
        </w:tblPrEx>
        <w:trPr>
          <w:trHeight w:val="334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D88D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2EE7B">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*对机动车辆未经批准离开道路在草原上行驶或者未按照确认的行驶区域和行驶路线在草原上行驶，破坏草原植被的处罚。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0F468">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A81F699">
        <w:tblPrEx>
          <w:tblCellMar>
            <w:top w:w="0" w:type="dxa"/>
            <w:left w:w="0" w:type="dxa"/>
            <w:bottom w:w="0" w:type="dxa"/>
            <w:right w:w="0" w:type="dxa"/>
          </w:tblCellMar>
        </w:tblPrEx>
        <w:trPr>
          <w:trHeight w:val="32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2DA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9D8A3">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*对草原围栏建设中因阻断道路对草原造成碾压破坏的处罚。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0E371">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p>
          <w:p w14:paraId="0B19E056">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CA1C4BC">
        <w:tblPrEx>
          <w:tblCellMar>
            <w:top w:w="0" w:type="dxa"/>
            <w:left w:w="0" w:type="dxa"/>
            <w:bottom w:w="0" w:type="dxa"/>
            <w:right w:w="0" w:type="dxa"/>
          </w:tblCellMar>
        </w:tblPrEx>
        <w:trPr>
          <w:trHeight w:val="2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E95B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9CB7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*对围湖造地或者未经批准围垦河道的处罚。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F7BB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40F48799">
        <w:tblPrEx>
          <w:tblCellMar>
            <w:top w:w="0" w:type="dxa"/>
            <w:left w:w="0" w:type="dxa"/>
            <w:bottom w:w="0" w:type="dxa"/>
            <w:right w:w="0" w:type="dxa"/>
          </w:tblCellMar>
        </w:tblPrEx>
        <w:trPr>
          <w:trHeight w:val="2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D329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7545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*对在崩塌、滑坡危险区或者泥石流易发区从事取土、挖砂、采石等可能造成水土流失的活动的处罚。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5B0B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6B838E7">
        <w:tblPrEx>
          <w:tblCellMar>
            <w:top w:w="0" w:type="dxa"/>
            <w:left w:w="0" w:type="dxa"/>
            <w:bottom w:w="0" w:type="dxa"/>
            <w:right w:w="0" w:type="dxa"/>
          </w:tblCellMar>
        </w:tblPrEx>
        <w:trPr>
          <w:trHeight w:val="214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990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40DC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*对在江河、湖泊、水库、运河、渠道内弃置、堆放阻碍行洪的物体和种植阻碍行洪的林木及高秆作物的处罚。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7487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28EC7A46">
        <w:tblPrEx>
          <w:tblCellMar>
            <w:top w:w="0" w:type="dxa"/>
            <w:left w:w="0" w:type="dxa"/>
            <w:bottom w:w="0" w:type="dxa"/>
            <w:right w:w="0" w:type="dxa"/>
          </w:tblCellMar>
        </w:tblPrEx>
        <w:trPr>
          <w:trHeight w:val="2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2BC2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73CB1">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*对采集发菜，或者在水土流失重点预防区和重点治理区铲草皮、挖树兜、滥挖虫草、甘草、麻黄等的处罚。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63F2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55A4B023">
        <w:tblPrEx>
          <w:tblCellMar>
            <w:top w:w="0" w:type="dxa"/>
            <w:left w:w="0" w:type="dxa"/>
            <w:bottom w:w="0" w:type="dxa"/>
            <w:right w:w="0" w:type="dxa"/>
          </w:tblCellMar>
        </w:tblPrEx>
        <w:trPr>
          <w:trHeight w:val="2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9EAB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0</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6159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*对开办生产建设项目或者从事其他生产建设活动造成水土流失不进行治理的处置。</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8619F">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F1B18B0">
        <w:tblPrEx>
          <w:tblCellMar>
            <w:top w:w="0" w:type="dxa"/>
            <w:left w:w="0" w:type="dxa"/>
            <w:bottom w:w="0" w:type="dxa"/>
            <w:right w:w="0" w:type="dxa"/>
          </w:tblCellMar>
        </w:tblPrEx>
        <w:trPr>
          <w:trHeight w:val="381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F06E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5B11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*对在堤防安全保护区内进行打井、钻探、爆破、挖筑鱼塘、采石、取土等危害堤防安全的活动的处罚。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0E1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33A64F5E">
        <w:tblPrEx>
          <w:tblCellMar>
            <w:top w:w="0" w:type="dxa"/>
            <w:left w:w="0" w:type="dxa"/>
            <w:bottom w:w="0" w:type="dxa"/>
            <w:right w:w="0" w:type="dxa"/>
          </w:tblCellMar>
        </w:tblPrEx>
        <w:trPr>
          <w:trHeight w:val="2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E7D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FDC3C">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*对河道、湖泊管理范围内建设妨碍行洪的建筑物、构筑物的处罚。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2FE06">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30A6144">
        <w:tblPrEx>
          <w:tblCellMar>
            <w:top w:w="0" w:type="dxa"/>
            <w:left w:w="0" w:type="dxa"/>
            <w:bottom w:w="0" w:type="dxa"/>
            <w:right w:w="0" w:type="dxa"/>
          </w:tblCellMar>
        </w:tblPrEx>
        <w:trPr>
          <w:trHeight w:val="29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CF5E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9F357">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*对在河道、湖泊管理范围内倾倒垃圾、渣土，从事影响河势稳定、危害河岸堤防安全和其他妨碍河道行洪的活动的处罚。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660FD">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62CAC4A2">
        <w:tblPrEx>
          <w:tblCellMar>
            <w:top w:w="0" w:type="dxa"/>
            <w:left w:w="0" w:type="dxa"/>
            <w:bottom w:w="0" w:type="dxa"/>
            <w:right w:w="0" w:type="dxa"/>
          </w:tblCellMar>
        </w:tblPrEx>
        <w:trPr>
          <w:trHeight w:val="25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FBA7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BD652">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*对在水土保持方案确定的专门存放地以外的区域倾倒砂、石、土、矸石、尾矿、废渣等的处罚。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F3A8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7B30AC59">
        <w:tblPrEx>
          <w:tblCellMar>
            <w:top w:w="0" w:type="dxa"/>
            <w:left w:w="0" w:type="dxa"/>
            <w:bottom w:w="0" w:type="dxa"/>
            <w:right w:w="0" w:type="dxa"/>
          </w:tblCellMar>
        </w:tblPrEx>
        <w:trPr>
          <w:trHeight w:val="258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8261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B7CFA">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*对在禁止开垦坡度以上陡坡地开垦种植农作物，或者在禁止开垦，开发的植物保护带内开垦、开发的处罚。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83C0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3B6CB22">
        <w:tblPrEx>
          <w:tblCellMar>
            <w:top w:w="0" w:type="dxa"/>
            <w:left w:w="0" w:type="dxa"/>
            <w:bottom w:w="0" w:type="dxa"/>
            <w:right w:w="0" w:type="dxa"/>
          </w:tblCellMar>
        </w:tblPrEx>
        <w:trPr>
          <w:trHeight w:val="25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54EB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23CFE">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*对在堤防、护堤地建房、放牧、开渠、打井、挖窖、葬坟、晒粮、存放物料、开采地下资源、进行考古发掘以及开展集市贸易活动的处罚。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6935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0F79901D">
        <w:tblPrEx>
          <w:tblCellMar>
            <w:top w:w="0" w:type="dxa"/>
            <w:left w:w="0" w:type="dxa"/>
            <w:bottom w:w="0" w:type="dxa"/>
            <w:right w:w="0" w:type="dxa"/>
          </w:tblCellMar>
        </w:tblPrEx>
        <w:trPr>
          <w:trHeight w:val="264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A858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61EF9">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*对在河道管理范围内弃置、堆放阻碍行洪物体的；种植阻碍行洪的林木或者高杆植物的；修建围堤、阻水渠道、阻水道路的处罚。</w:t>
            </w:r>
          </w:p>
        </w:tc>
        <w:tc>
          <w:tcPr>
            <w:tcW w:w="36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C7924">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1.立案；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3.案情分析与调查报告起草；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4.案件审理；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5.重大执法决定法制审核；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6.作出处理决定；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7.执行；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8.结案；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9.立卷归档。</w:t>
            </w:r>
          </w:p>
        </w:tc>
      </w:tr>
      <w:tr w14:paraId="15B98DC8">
        <w:tblPrEx>
          <w:tblCellMar>
            <w:top w:w="0" w:type="dxa"/>
            <w:left w:w="0" w:type="dxa"/>
            <w:bottom w:w="0" w:type="dxa"/>
            <w:right w:w="0" w:type="dxa"/>
          </w:tblCellMar>
        </w:tblPrEx>
        <w:trPr>
          <w:trHeight w:val="66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2930A">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Style w:val="6"/>
                <w:rFonts w:hAnsi="宋体"/>
                <w:lang w:val="en-US" w:eastAsia="zh-CN" w:bidi="ar"/>
              </w:rPr>
              <w:t>注：</w:t>
            </w:r>
            <w:r>
              <w:rPr>
                <w:rStyle w:val="7"/>
                <w:rFonts w:eastAsia="仿宋_GB2312"/>
                <w:lang w:val="en-US" w:eastAsia="zh-CN" w:bidi="ar"/>
              </w:rPr>
              <w:t>1.</w:t>
            </w:r>
            <w:r>
              <w:rPr>
                <w:rStyle w:val="6"/>
                <w:rFonts w:hAnsi="宋体"/>
                <w:lang w:val="en-US" w:eastAsia="zh-CN" w:bidi="ar"/>
              </w:rPr>
              <w:t>根据清单工作整体部署将适时对清单内容进行修订。</w:t>
            </w:r>
            <w:r>
              <w:rPr>
                <w:rStyle w:val="7"/>
                <w:rFonts w:eastAsia="仿宋_GB2312"/>
                <w:lang w:val="en-US" w:eastAsia="zh-CN" w:bidi="ar"/>
              </w:rPr>
              <w:t>2.*</w:t>
            </w:r>
            <w:r>
              <w:rPr>
                <w:rStyle w:val="6"/>
                <w:rFonts w:hAnsi="宋体"/>
                <w:lang w:val="en-US" w:eastAsia="zh-CN" w:bidi="ar"/>
              </w:rPr>
              <w:t>标注事项为本镇所承担的执法事项。</w:t>
            </w:r>
          </w:p>
        </w:tc>
      </w:tr>
    </w:tbl>
    <w:p w14:paraId="75F78FBE"/>
    <w:sectPr>
      <w:pgSz w:w="16838" w:h="11906" w:orient="landscape"/>
      <w:pgMar w:top="720" w:right="720" w:bottom="720" w:left="720"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B18AC"/>
    <w:rsid w:val="1EAB4C61"/>
    <w:rsid w:val="213F7A5C"/>
    <w:rsid w:val="29BA14F1"/>
    <w:rsid w:val="34837BEC"/>
    <w:rsid w:val="350971D8"/>
    <w:rsid w:val="3C821ED8"/>
    <w:rsid w:val="3EC64250"/>
    <w:rsid w:val="3F674BBA"/>
    <w:rsid w:val="5391313A"/>
    <w:rsid w:val="61AB18AC"/>
    <w:rsid w:val="71E77E4F"/>
    <w:rsid w:val="BFF1E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01"/>
    <w:basedOn w:val="5"/>
    <w:qFormat/>
    <w:uiPriority w:val="0"/>
    <w:rPr>
      <w:rFonts w:hint="eastAsia" w:ascii="仿宋_GB2312" w:eastAsia="仿宋_GB2312" w:cs="仿宋_GB2312"/>
      <w:color w:val="000000"/>
      <w:sz w:val="24"/>
      <w:szCs w:val="24"/>
      <w:u w:val="none"/>
    </w:rPr>
  </w:style>
  <w:style w:type="character" w:customStyle="1" w:styleId="7">
    <w:name w:val="font31"/>
    <w:basedOn w:val="5"/>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8805</Words>
  <Characters>9304</Characters>
  <Lines>0</Lines>
  <Paragraphs>0</Paragraphs>
  <TotalTime>0</TotalTime>
  <ScaleCrop>false</ScaleCrop>
  <LinksUpToDate>false</LinksUpToDate>
  <CharactersWithSpaces>9304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2025-08-25T17:39:00Z</dcterms:created>
  <dc:creator>Administrator</dc:creator>
  <cp:lastModifiedBy>馨琪若</cp:lastModifiedBy>
  <dcterms:modified xsi:type="dcterms:W3CDTF">2025-08-29T11:24:21Z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AC321C3D4ABE9CC6E861B168EA83F3CF_42</vt:lpwstr>
  </property>
  <property fmtid="{D5CDD505-2E9C-101B-9397-08002B2CF9AE}" pid="4" name="KSOTemplateDocerSaveRecord">
    <vt:lpwstr>eyJoZGlkIjoiNWU1Zjc0MWM0N2FlNTZiZTc0ODU3MTNmZDExYWY3MWUiLCJ1c2VySWQiOiI2Njc0MjUzNjkifQ==</vt:lpwstr>
  </property>
</Properties>
</file>