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4997" w:type="pct"/>
        <w:tblInd w:w="0" w:type="dxa"/>
        <w:shd w:val="clear" w:color="auto" w:fill="auto"/>
        <w:tblLayout w:type="fixed"/>
        <w:tblCellMar>
          <w:top w:w="0" w:type="dxa"/>
          <w:left w:w="0" w:type="dxa"/>
          <w:bottom w:w="0" w:type="dxa"/>
          <w:right w:w="0" w:type="dxa"/>
        </w:tblCellMar>
      </w:tblPr>
      <w:tblGrid>
        <w:gridCol w:w="922"/>
        <w:gridCol w:w="1712"/>
        <w:gridCol w:w="2728"/>
        <w:gridCol w:w="5382"/>
        <w:gridCol w:w="4675"/>
      </w:tblGrid>
      <w:tr w14:paraId="6EABFD41">
        <w:tblPrEx>
          <w:shd w:val="clear" w:color="auto" w:fill="auto"/>
          <w:tblCellMar>
            <w:top w:w="0" w:type="dxa"/>
            <w:left w:w="0" w:type="dxa"/>
            <w:bottom w:w="0" w:type="dxa"/>
            <w:right w:w="0" w:type="dxa"/>
          </w:tblCellMar>
        </w:tblPrEx>
        <w:trPr>
          <w:cantSplit/>
          <w:trHeight w:val="405" w:hRule="atLeast"/>
          <w:tblHeader/>
        </w:trPr>
        <w:tc>
          <w:tcPr>
            <w:tcW w:w="298" w:type="pct"/>
            <w:tcBorders>
              <w:top w:val="nil"/>
              <w:left w:val="nil"/>
              <w:bottom w:val="nil"/>
              <w:right w:val="nil"/>
            </w:tcBorders>
            <w:shd w:val="clear" w:color="auto" w:fill="auto"/>
            <w:noWrap/>
            <w:tcMar>
              <w:top w:w="15" w:type="dxa"/>
              <w:left w:w="15" w:type="dxa"/>
              <w:right w:w="15" w:type="dxa"/>
            </w:tcMar>
            <w:vAlign w:val="center"/>
          </w:tcPr>
          <w:p w14:paraId="37267C46">
            <w:pPr>
              <w:keepNext w:val="0"/>
              <w:keepLines w:val="0"/>
              <w:widowControl/>
              <w:suppressLineNumbers w:val="0"/>
              <w:jc w:val="center"/>
              <w:textAlignment w:val="center"/>
              <w:rPr>
                <w:rFonts w:hint="eastAsia" w:ascii="黑体" w:hAnsi="黑体" w:eastAsia="黑体" w:cs="黑体"/>
                <w:i w:val="0"/>
                <w:color w:val="000000"/>
                <w:sz w:val="28"/>
                <w:szCs w:val="28"/>
                <w:u w:val="none"/>
              </w:rPr>
            </w:pPr>
            <w:r>
              <w:rPr>
                <w:rFonts w:hint="eastAsia" w:ascii="黑体" w:hAnsi="黑体" w:eastAsia="黑体" w:cs="黑体"/>
                <w:i w:val="0"/>
                <w:color w:val="000000"/>
                <w:kern w:val="0"/>
                <w:sz w:val="28"/>
                <w:szCs w:val="28"/>
                <w:u w:val="none"/>
                <w:lang w:val="en-US" w:eastAsia="zh-CN" w:bidi="ar"/>
              </w:rPr>
              <w:t>附件2</w:t>
            </w:r>
          </w:p>
        </w:tc>
        <w:tc>
          <w:tcPr>
            <w:tcW w:w="555" w:type="pct"/>
            <w:tcBorders>
              <w:top w:val="nil"/>
              <w:left w:val="nil"/>
              <w:bottom w:val="nil"/>
              <w:right w:val="nil"/>
            </w:tcBorders>
            <w:shd w:val="clear" w:color="auto" w:fill="auto"/>
            <w:noWrap/>
            <w:tcMar>
              <w:top w:w="15" w:type="dxa"/>
              <w:left w:w="15" w:type="dxa"/>
              <w:right w:w="15" w:type="dxa"/>
            </w:tcMar>
            <w:vAlign w:val="center"/>
          </w:tcPr>
          <w:p w14:paraId="01090798">
            <w:pPr>
              <w:jc w:val="center"/>
              <w:rPr>
                <w:rFonts w:hint="eastAsia" w:ascii="黑体" w:hAnsi="黑体" w:eastAsia="黑体" w:cs="黑体"/>
                <w:i w:val="0"/>
                <w:color w:val="000000"/>
                <w:sz w:val="28"/>
                <w:szCs w:val="28"/>
                <w:u w:val="none"/>
              </w:rPr>
            </w:pPr>
          </w:p>
        </w:tc>
        <w:tc>
          <w:tcPr>
            <w:tcW w:w="884" w:type="pct"/>
            <w:tcBorders>
              <w:top w:val="nil"/>
              <w:left w:val="nil"/>
              <w:bottom w:val="nil"/>
              <w:right w:val="nil"/>
            </w:tcBorders>
            <w:shd w:val="clear" w:color="auto" w:fill="auto"/>
            <w:noWrap/>
            <w:tcMar>
              <w:top w:w="15" w:type="dxa"/>
              <w:left w:w="15" w:type="dxa"/>
              <w:right w:w="15" w:type="dxa"/>
            </w:tcMar>
            <w:vAlign w:val="center"/>
          </w:tcPr>
          <w:p w14:paraId="4CD3EF8F">
            <w:pPr>
              <w:jc w:val="center"/>
              <w:rPr>
                <w:rFonts w:hint="eastAsia" w:ascii="宋体" w:hAnsi="宋体" w:eastAsia="宋体" w:cs="宋体"/>
                <w:i w:val="0"/>
                <w:color w:val="000000"/>
                <w:sz w:val="22"/>
                <w:szCs w:val="22"/>
                <w:u w:val="none"/>
              </w:rPr>
            </w:pPr>
          </w:p>
        </w:tc>
        <w:tc>
          <w:tcPr>
            <w:tcW w:w="1745" w:type="pct"/>
            <w:tcBorders>
              <w:top w:val="nil"/>
              <w:left w:val="nil"/>
              <w:bottom w:val="nil"/>
              <w:right w:val="nil"/>
            </w:tcBorders>
            <w:shd w:val="clear" w:color="auto" w:fill="auto"/>
            <w:noWrap/>
            <w:tcMar>
              <w:top w:w="15" w:type="dxa"/>
              <w:left w:w="15" w:type="dxa"/>
              <w:right w:w="15" w:type="dxa"/>
            </w:tcMar>
            <w:vAlign w:val="center"/>
          </w:tcPr>
          <w:p w14:paraId="5217D53F">
            <w:pPr>
              <w:jc w:val="left"/>
              <w:rPr>
                <w:rFonts w:hint="eastAsia" w:ascii="宋体" w:hAnsi="宋体" w:eastAsia="宋体" w:cs="宋体"/>
                <w:i w:val="0"/>
                <w:color w:val="000000"/>
                <w:sz w:val="22"/>
                <w:szCs w:val="22"/>
                <w:u w:val="none"/>
              </w:rPr>
            </w:pPr>
          </w:p>
        </w:tc>
        <w:tc>
          <w:tcPr>
            <w:tcW w:w="1515" w:type="pct"/>
            <w:tcBorders>
              <w:top w:val="nil"/>
              <w:left w:val="nil"/>
              <w:bottom w:val="nil"/>
              <w:right w:val="nil"/>
            </w:tcBorders>
            <w:shd w:val="clear" w:color="auto" w:fill="auto"/>
            <w:noWrap/>
            <w:tcMar>
              <w:top w:w="15" w:type="dxa"/>
              <w:left w:w="15" w:type="dxa"/>
              <w:right w:w="15" w:type="dxa"/>
            </w:tcMar>
            <w:vAlign w:val="center"/>
          </w:tcPr>
          <w:p w14:paraId="00EE431E">
            <w:pPr>
              <w:rPr>
                <w:rFonts w:hint="eastAsia" w:ascii="宋体" w:hAnsi="宋体" w:eastAsia="宋体" w:cs="宋体"/>
                <w:i w:val="0"/>
                <w:color w:val="000000"/>
                <w:sz w:val="22"/>
                <w:szCs w:val="22"/>
                <w:u w:val="none"/>
              </w:rPr>
            </w:pPr>
          </w:p>
        </w:tc>
      </w:tr>
      <w:tr w14:paraId="782FEC83">
        <w:tblPrEx>
          <w:shd w:val="clear" w:color="auto" w:fill="auto"/>
          <w:tblCellMar>
            <w:top w:w="0" w:type="dxa"/>
            <w:left w:w="0" w:type="dxa"/>
            <w:bottom w:w="0" w:type="dxa"/>
            <w:right w:w="0" w:type="dxa"/>
          </w:tblCellMar>
        </w:tblPrEx>
        <w:trPr>
          <w:cantSplit/>
          <w:trHeight w:val="900" w:hRule="atLeast"/>
          <w:tblHeader/>
        </w:trPr>
        <w:tc>
          <w:tcPr>
            <w:tcW w:w="5000" w:type="pct"/>
            <w:gridSpan w:val="5"/>
            <w:tcBorders>
              <w:top w:val="nil"/>
              <w:left w:val="nil"/>
              <w:bottom w:val="single" w:color="000000" w:sz="4" w:space="0"/>
              <w:right w:val="nil"/>
            </w:tcBorders>
            <w:shd w:val="clear" w:color="auto" w:fill="auto"/>
            <w:tcMar>
              <w:top w:w="15" w:type="dxa"/>
              <w:left w:w="15" w:type="dxa"/>
              <w:right w:w="15" w:type="dxa"/>
            </w:tcMar>
            <w:vAlign w:val="center"/>
          </w:tcPr>
          <w:p w14:paraId="04AC8915">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44"/>
                <w:szCs w:val="44"/>
                <w:u w:val="none"/>
              </w:rPr>
            </w:pPr>
            <w:r>
              <w:rPr>
                <w:rFonts w:hint="eastAsia" w:ascii="方正小标宋简体" w:hAnsi="方正小标宋简体" w:eastAsia="方正小标宋简体" w:cs="方正小标宋简体"/>
                <w:i w:val="0"/>
                <w:color w:val="000000"/>
                <w:kern w:val="0"/>
                <w:sz w:val="44"/>
                <w:szCs w:val="44"/>
                <w:u w:val="none"/>
                <w:lang w:val="en-US" w:eastAsia="zh-CN" w:bidi="ar"/>
              </w:rPr>
              <w:t>鄂托克前旗敖勒召其镇配合事项清单</w:t>
            </w:r>
          </w:p>
        </w:tc>
      </w:tr>
      <w:tr w14:paraId="57998442">
        <w:tblPrEx>
          <w:shd w:val="clear" w:color="auto" w:fill="auto"/>
          <w:tblCellMar>
            <w:top w:w="0" w:type="dxa"/>
            <w:left w:w="0" w:type="dxa"/>
            <w:bottom w:w="0" w:type="dxa"/>
            <w:right w:w="0" w:type="dxa"/>
          </w:tblCellMar>
        </w:tblPrEx>
        <w:trPr>
          <w:cantSplit/>
          <w:trHeight w:val="1202" w:hRule="atLeast"/>
          <w:tblHeader/>
        </w:trPr>
        <w:tc>
          <w:tcPr>
            <w:tcW w:w="298" w:type="pc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91D37C">
            <w:pPr>
              <w:keepNext w:val="0"/>
              <w:keepLines w:val="0"/>
              <w:widowControl/>
              <w:suppressLineNumbers w:val="0"/>
              <w:jc w:val="center"/>
              <w:textAlignment w:val="center"/>
              <w:rPr>
                <w:rFonts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序号</w:t>
            </w:r>
          </w:p>
        </w:tc>
        <w:tc>
          <w:tcPr>
            <w:tcW w:w="555" w:type="pc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E245CE">
            <w:pPr>
              <w:keepNext w:val="0"/>
              <w:keepLines w:val="0"/>
              <w:widowControl/>
              <w:suppressLineNumbers w:val="0"/>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事项名称</w:t>
            </w:r>
          </w:p>
        </w:tc>
        <w:tc>
          <w:tcPr>
            <w:tcW w:w="884" w:type="pc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CF5AE">
            <w:pPr>
              <w:keepNext w:val="0"/>
              <w:keepLines w:val="0"/>
              <w:widowControl/>
              <w:suppressLineNumbers w:val="0"/>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对应上级部门</w:t>
            </w:r>
          </w:p>
        </w:tc>
        <w:tc>
          <w:tcPr>
            <w:tcW w:w="1745" w:type="pc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185029">
            <w:pPr>
              <w:keepNext w:val="0"/>
              <w:keepLines w:val="0"/>
              <w:widowControl/>
              <w:suppressLineNumbers w:val="0"/>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上级部门职责（含提供的履职保障）</w:t>
            </w:r>
          </w:p>
        </w:tc>
        <w:tc>
          <w:tcPr>
            <w:tcW w:w="1515" w:type="pc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3D1828">
            <w:pPr>
              <w:keepNext w:val="0"/>
              <w:keepLines w:val="0"/>
              <w:widowControl/>
              <w:suppressLineNumbers w:val="0"/>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镇配合职责</w:t>
            </w:r>
          </w:p>
        </w:tc>
      </w:tr>
      <w:tr w14:paraId="7C0BE33B">
        <w:tblPrEx>
          <w:tblCellMar>
            <w:top w:w="0" w:type="dxa"/>
            <w:left w:w="0" w:type="dxa"/>
            <w:bottom w:w="0" w:type="dxa"/>
            <w:right w:w="0" w:type="dxa"/>
          </w:tblCellMar>
        </w:tblPrEx>
        <w:trPr>
          <w:cantSplit/>
          <w:trHeight w:val="600" w:hRule="atLeast"/>
          <w:tblHeader/>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62779D">
            <w:pPr>
              <w:keepNext w:val="0"/>
              <w:keepLines w:val="0"/>
              <w:widowControl/>
              <w:suppressLineNumbers w:val="0"/>
              <w:jc w:val="left"/>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一、党的建设（6项）</w:t>
            </w:r>
          </w:p>
        </w:tc>
      </w:tr>
      <w:tr w14:paraId="7264CC35">
        <w:tblPrEx>
          <w:shd w:val="clear" w:color="auto" w:fill="auto"/>
          <w:tblCellMar>
            <w:top w:w="0" w:type="dxa"/>
            <w:left w:w="0" w:type="dxa"/>
            <w:bottom w:w="0" w:type="dxa"/>
            <w:right w:w="0" w:type="dxa"/>
          </w:tblCellMar>
        </w:tblPrEx>
        <w:trPr>
          <w:cantSplit/>
          <w:trHeight w:val="1620" w:hRule="atLeast"/>
          <w:tblHeader/>
        </w:trPr>
        <w:tc>
          <w:tcPr>
            <w:tcW w:w="29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CB2FE1">
            <w:pPr>
              <w:keepNext w:val="0"/>
              <w:keepLines w:val="0"/>
              <w:widowControl/>
              <w:suppressLineNumbers w:val="0"/>
              <w:jc w:val="center"/>
              <w:textAlignment w:val="center"/>
              <w:rPr>
                <w:rFonts w:ascii="Times New Roman Regular" w:hAnsi="Times New Roman Regular" w:eastAsia="Times New Roman Regular" w:cs="Times New Roman Regular"/>
                <w:i w:val="0"/>
                <w:color w:val="000000"/>
                <w:sz w:val="24"/>
                <w:szCs w:val="24"/>
                <w:u w:val="none"/>
              </w:rPr>
            </w:pPr>
            <w:r>
              <w:rPr>
                <w:rFonts w:hint="default" w:ascii="Times New Roman Regular" w:hAnsi="Times New Roman Regular" w:eastAsia="Times New Roman Regular" w:cs="Times New Roman Regular"/>
                <w:i w:val="0"/>
                <w:color w:val="000000"/>
                <w:kern w:val="0"/>
                <w:sz w:val="24"/>
                <w:szCs w:val="24"/>
                <w:u w:val="none"/>
                <w:lang w:val="en-US" w:eastAsia="zh-CN" w:bidi="ar"/>
              </w:rPr>
              <w:t>1</w:t>
            </w:r>
          </w:p>
        </w:tc>
        <w:tc>
          <w:tcPr>
            <w:tcW w:w="55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EBE3C1">
            <w:pPr>
              <w:keepNext w:val="0"/>
              <w:keepLines w:val="0"/>
              <w:widowControl/>
              <w:suppressLineNumbers w:val="0"/>
              <w:jc w:val="both"/>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公务员试用期满考核。</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EA140">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旗委组织部</w:t>
            </w:r>
          </w:p>
        </w:tc>
        <w:tc>
          <w:tcPr>
            <w:tcW w:w="174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99F61E">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旗委组织部：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1.审批，下发新录用公务员任职定级决定；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2.按照有关规定进行公务员登记。</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履职保障：业务指导。</w:t>
            </w:r>
          </w:p>
        </w:tc>
        <w:tc>
          <w:tcPr>
            <w:tcW w:w="15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061EB8">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1.通知本人对试用期间的德、能、勤、绩、廉情况进行总结；</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2.组织开展民主测评；</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3.对拟任职定级人员进行全面考核，提出拟任职级和拟定级别的意见；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4.镇党委会研究讨论并上报组织部。</w:t>
            </w:r>
          </w:p>
        </w:tc>
      </w:tr>
      <w:tr w14:paraId="06DC9EFD">
        <w:tblPrEx>
          <w:shd w:val="clear" w:color="auto" w:fill="auto"/>
          <w:tblCellMar>
            <w:top w:w="0" w:type="dxa"/>
            <w:left w:w="0" w:type="dxa"/>
            <w:bottom w:w="0" w:type="dxa"/>
            <w:right w:w="0" w:type="dxa"/>
          </w:tblCellMar>
        </w:tblPrEx>
        <w:trPr>
          <w:cantSplit/>
          <w:trHeight w:val="2740" w:hRule="atLeast"/>
          <w:tblHeader/>
        </w:trPr>
        <w:tc>
          <w:tcPr>
            <w:tcW w:w="29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704E9B">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000000"/>
                <w:sz w:val="24"/>
                <w:szCs w:val="24"/>
                <w:u w:val="none"/>
              </w:rPr>
            </w:pPr>
            <w:r>
              <w:rPr>
                <w:rFonts w:hint="default" w:ascii="Times New Roman Regular" w:hAnsi="Times New Roman Regular" w:eastAsia="Times New Roman Regular" w:cs="Times New Roman Regular"/>
                <w:i w:val="0"/>
                <w:color w:val="000000"/>
                <w:kern w:val="0"/>
                <w:sz w:val="24"/>
                <w:szCs w:val="24"/>
                <w:u w:val="none"/>
                <w:lang w:val="en-US" w:eastAsia="zh-CN" w:bidi="ar"/>
              </w:rPr>
              <w:t>2</w:t>
            </w:r>
          </w:p>
        </w:tc>
        <w:tc>
          <w:tcPr>
            <w:tcW w:w="55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5F8D4D">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事业单位工作人员试用期满考核。</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1AA92F">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旗人力资源和社会保障局</w:t>
            </w:r>
          </w:p>
        </w:tc>
        <w:tc>
          <w:tcPr>
            <w:tcW w:w="174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A0BE1D">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旗人力资源和社会保障局：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1.制定考核方案；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2.成立考核组；</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3.准备考核有关材料；</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4.通知有关单位，确定考核会议召开时间、地点及参会人数；</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5.组织个别谈话；</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6.汇总考核情况；</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7.研究确定转正意见。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履职保障：业务指导。</w:t>
            </w:r>
          </w:p>
        </w:tc>
        <w:tc>
          <w:tcPr>
            <w:tcW w:w="15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9E6C92">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1.召开会议进行民主测评；</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2.个别谈话；</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3.镇党委会研究确定并上报人力资源和社会保障局。</w:t>
            </w:r>
          </w:p>
        </w:tc>
      </w:tr>
      <w:tr w14:paraId="3D2E0C1A">
        <w:tblPrEx>
          <w:tblCellMar>
            <w:top w:w="0" w:type="dxa"/>
            <w:left w:w="0" w:type="dxa"/>
            <w:bottom w:w="0" w:type="dxa"/>
            <w:right w:w="0" w:type="dxa"/>
          </w:tblCellMar>
        </w:tblPrEx>
        <w:trPr>
          <w:cantSplit/>
          <w:trHeight w:val="1911" w:hRule="atLeast"/>
          <w:tblHeader/>
        </w:trPr>
        <w:tc>
          <w:tcPr>
            <w:tcW w:w="29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C9492A">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000000"/>
                <w:kern w:val="2"/>
                <w:sz w:val="24"/>
                <w:szCs w:val="24"/>
                <w:u w:val="none"/>
                <w:lang w:val="en-US" w:eastAsia="zh-CN" w:bidi="ar-SA"/>
              </w:rPr>
            </w:pPr>
            <w:r>
              <w:rPr>
                <w:rFonts w:hint="eastAsia" w:ascii="Times New Roman Regular" w:hAnsi="Times New Roman Regular" w:eastAsia="Times New Roman Regular" w:cs="Times New Roman Regular"/>
                <w:i w:val="0"/>
                <w:color w:val="000000"/>
                <w:kern w:val="2"/>
                <w:sz w:val="24"/>
                <w:szCs w:val="24"/>
                <w:u w:val="none"/>
                <w:lang w:val="en-US" w:eastAsia="zh-CN" w:bidi="ar-SA"/>
              </w:rPr>
              <w:t>3</w:t>
            </w:r>
          </w:p>
        </w:tc>
        <w:tc>
          <w:tcPr>
            <w:tcW w:w="55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DC5DD">
            <w:pPr>
              <w:keepNext w:val="0"/>
              <w:keepLines w:val="0"/>
              <w:widowControl/>
              <w:suppressLineNumbers w:val="0"/>
              <w:jc w:val="both"/>
              <w:textAlignment w:val="center"/>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eastAsia="仿宋_GB2312" w:cs="仿宋_GB2312"/>
                <w:i w:val="0"/>
                <w:color w:val="000000"/>
                <w:kern w:val="0"/>
                <w:sz w:val="24"/>
                <w:szCs w:val="24"/>
                <w:u w:val="none"/>
                <w:lang w:val="en-US" w:eastAsia="zh-CN" w:bidi="ar"/>
              </w:rPr>
              <w:t>驻村干部管理。</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952149">
            <w:pPr>
              <w:keepNext w:val="0"/>
              <w:keepLines w:val="0"/>
              <w:widowControl/>
              <w:suppressLineNumbers w:val="0"/>
              <w:jc w:val="center"/>
              <w:textAlignment w:val="center"/>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eastAsia="仿宋_GB2312" w:cs="仿宋_GB2312"/>
                <w:i w:val="0"/>
                <w:color w:val="000000"/>
                <w:kern w:val="0"/>
                <w:sz w:val="24"/>
                <w:szCs w:val="24"/>
                <w:u w:val="none"/>
                <w:lang w:val="en-US" w:eastAsia="zh-CN" w:bidi="ar"/>
              </w:rPr>
              <w:t>旗委组织部</w:t>
            </w:r>
          </w:p>
        </w:tc>
        <w:tc>
          <w:tcPr>
            <w:tcW w:w="174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C5E8A1">
            <w:pPr>
              <w:keepNext w:val="0"/>
              <w:keepLines w:val="0"/>
              <w:widowControl/>
              <w:suppressLineNumbers w:val="0"/>
              <w:jc w:val="both"/>
              <w:textAlignment w:val="center"/>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eastAsia="仿宋_GB2312" w:cs="仿宋_GB2312"/>
                <w:i w:val="0"/>
                <w:color w:val="000000"/>
                <w:kern w:val="0"/>
                <w:sz w:val="24"/>
                <w:szCs w:val="24"/>
                <w:u w:val="none"/>
                <w:lang w:val="en-US" w:eastAsia="zh-CN" w:bidi="ar"/>
              </w:rPr>
              <w:t>旗委组织部：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1.负责驻村第一书记、工作队员选派、调整、考核、补贴发放；</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2.协调旗级派出单位统筹保障帮扶经费。</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履职保障：1.资金保障；2.政策支持。</w:t>
            </w:r>
          </w:p>
        </w:tc>
        <w:tc>
          <w:tcPr>
            <w:tcW w:w="15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2056C">
            <w:pPr>
              <w:keepNext w:val="0"/>
              <w:keepLines w:val="0"/>
              <w:widowControl/>
              <w:suppressLineNumbers w:val="0"/>
              <w:jc w:val="both"/>
              <w:textAlignment w:val="center"/>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eastAsia="仿宋_GB2312" w:cs="仿宋_GB2312"/>
                <w:i w:val="0"/>
                <w:color w:val="000000"/>
                <w:kern w:val="0"/>
                <w:sz w:val="24"/>
                <w:szCs w:val="24"/>
                <w:u w:val="none"/>
                <w:lang w:val="en-US" w:eastAsia="zh-CN" w:bidi="ar"/>
              </w:rPr>
              <w:t>1.负责辖区驻村第一书记和驻村工作队员的日常管理工作；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2.结合实际情况保障驻村干部的正常工作生活条件；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3.开展谈心谈话等关心关爱工作。</w:t>
            </w:r>
          </w:p>
        </w:tc>
      </w:tr>
    </w:tbl>
    <w:p w14:paraId="5113515E"/>
    <w:tbl>
      <w:tblPr>
        <w:tblStyle w:val="4"/>
        <w:tblW w:w="4997" w:type="pct"/>
        <w:tblInd w:w="0" w:type="dxa"/>
        <w:shd w:val="clear" w:color="auto" w:fill="auto"/>
        <w:tblLayout w:type="fixed"/>
        <w:tblCellMar>
          <w:top w:w="0" w:type="dxa"/>
          <w:left w:w="0" w:type="dxa"/>
          <w:bottom w:w="0" w:type="dxa"/>
          <w:right w:w="0" w:type="dxa"/>
        </w:tblCellMar>
      </w:tblPr>
      <w:tblGrid>
        <w:gridCol w:w="922"/>
        <w:gridCol w:w="1712"/>
        <w:gridCol w:w="2714"/>
        <w:gridCol w:w="5396"/>
        <w:gridCol w:w="4675"/>
      </w:tblGrid>
      <w:tr w14:paraId="7EDEFA72">
        <w:tblPrEx>
          <w:shd w:val="clear" w:color="auto" w:fill="auto"/>
          <w:tblCellMar>
            <w:top w:w="0" w:type="dxa"/>
            <w:left w:w="0" w:type="dxa"/>
            <w:bottom w:w="0" w:type="dxa"/>
            <w:right w:w="0" w:type="dxa"/>
          </w:tblCellMar>
        </w:tblPrEx>
        <w:trPr>
          <w:cantSplit/>
          <w:trHeight w:val="2170" w:hRule="atLeast"/>
          <w:tblHeader/>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036E74">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000000"/>
                <w:sz w:val="24"/>
                <w:szCs w:val="24"/>
                <w:u w:val="none"/>
              </w:rPr>
            </w:pPr>
            <w:r>
              <w:rPr>
                <w:rFonts w:hint="eastAsia" w:ascii="Times New Roman Regular" w:hAnsi="Times New Roman Regular" w:eastAsia="Times New Roman Regular" w:cs="Times New Roman Regular"/>
                <w:i w:val="0"/>
                <w:color w:val="000000"/>
                <w:kern w:val="0"/>
                <w:sz w:val="24"/>
                <w:szCs w:val="24"/>
                <w:u w:val="none"/>
                <w:lang w:val="en-US" w:eastAsia="zh-CN" w:bidi="ar"/>
              </w:rPr>
              <w:t>4</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81580">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开展消费帮扶工作。</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0586C4">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旗委组织部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旗农牧和水利局</w:t>
            </w:r>
          </w:p>
        </w:tc>
        <w:tc>
          <w:tcPr>
            <w:tcW w:w="5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0BDFB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旗委组织部：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1.制定驻村工作队消费帮扶计划；</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2.调度各包联单位消费帮扶工作开展情况。</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联系各农特产品企业开展消费帮扶。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履职保障：业务指导。</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6144B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1.梳理包联嘎查村产品名录，报送旗包联办；</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2.组织驻村干部到消费帮扶活动现场进行产品销售。</w:t>
            </w:r>
          </w:p>
        </w:tc>
      </w:tr>
      <w:tr w14:paraId="5A0F5B21">
        <w:tblPrEx>
          <w:tblCellMar>
            <w:top w:w="0" w:type="dxa"/>
            <w:left w:w="0" w:type="dxa"/>
            <w:bottom w:w="0" w:type="dxa"/>
            <w:right w:w="0" w:type="dxa"/>
          </w:tblCellMar>
        </w:tblPrEx>
        <w:trPr>
          <w:cantSplit/>
          <w:trHeight w:val="1580" w:hRule="atLeast"/>
          <w:tblHeader/>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438CE9">
            <w:pPr>
              <w:keepNext w:val="0"/>
              <w:keepLines w:val="0"/>
              <w:widowControl/>
              <w:suppressLineNumbers w:val="0"/>
              <w:jc w:val="center"/>
              <w:textAlignment w:val="center"/>
              <w:rPr>
                <w:rFonts w:hint="eastAsia" w:ascii="Times New Roman Regular" w:hAnsi="Times New Roman Regular" w:eastAsia="宋体" w:cs="Times New Roman Regular"/>
                <w:i w:val="0"/>
                <w:color w:val="000000"/>
                <w:sz w:val="24"/>
                <w:szCs w:val="24"/>
                <w:u w:val="none"/>
                <w:lang w:val="en-US" w:eastAsia="zh-CN"/>
              </w:rPr>
            </w:pPr>
            <w:r>
              <w:rPr>
                <w:rFonts w:hint="eastAsia" w:ascii="Times New Roman Regular" w:hAnsi="Times New Roman Regular" w:eastAsia="宋体" w:cs="Times New Roman Regular"/>
                <w:i w:val="0"/>
                <w:color w:val="000000"/>
                <w:sz w:val="24"/>
                <w:szCs w:val="24"/>
                <w:u w:val="none"/>
                <w:lang w:val="en-US" w:eastAsia="zh-CN"/>
              </w:rPr>
              <w:t>5</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14391">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离任村干部、老党员补贴错发、多发的追缴。</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6EF796">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旗委组织部</w:t>
            </w:r>
          </w:p>
        </w:tc>
        <w:tc>
          <w:tcPr>
            <w:tcW w:w="5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90B21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旗委组织部：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对错领、多领离任村干部、老党员补贴线索进行调查核实。</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履职保障：1.业务指导；2.政策支持。</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83A3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1.协助对冒领举报等线索进行调查核实；</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2.追缴错发、多发补贴。</w:t>
            </w:r>
          </w:p>
        </w:tc>
      </w:tr>
      <w:tr w14:paraId="623D521D">
        <w:tblPrEx>
          <w:tblCellMar>
            <w:top w:w="0" w:type="dxa"/>
            <w:left w:w="0" w:type="dxa"/>
            <w:bottom w:w="0" w:type="dxa"/>
            <w:right w:w="0" w:type="dxa"/>
          </w:tblCellMar>
        </w:tblPrEx>
        <w:trPr>
          <w:cantSplit/>
          <w:trHeight w:val="1500" w:hRule="atLeast"/>
          <w:tblHeader/>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19B15A">
            <w:pPr>
              <w:keepNext w:val="0"/>
              <w:keepLines w:val="0"/>
              <w:widowControl/>
              <w:suppressLineNumbers w:val="0"/>
              <w:jc w:val="center"/>
              <w:textAlignment w:val="center"/>
              <w:rPr>
                <w:rFonts w:hint="eastAsia" w:ascii="Times New Roman Regular" w:hAnsi="Times New Roman Regular" w:eastAsia="宋体" w:cs="Times New Roman Regular"/>
                <w:i w:val="0"/>
                <w:color w:val="000000"/>
                <w:sz w:val="24"/>
                <w:szCs w:val="24"/>
                <w:u w:val="none"/>
                <w:lang w:val="en-US" w:eastAsia="zh-CN"/>
              </w:rPr>
            </w:pPr>
            <w:r>
              <w:rPr>
                <w:rFonts w:hint="eastAsia" w:ascii="Times New Roman Regular" w:hAnsi="Times New Roman Regular" w:eastAsia="宋体" w:cs="Times New Roman Regular"/>
                <w:i w:val="0"/>
                <w:color w:val="000000"/>
                <w:sz w:val="24"/>
                <w:szCs w:val="24"/>
                <w:u w:val="none"/>
                <w:lang w:val="en-US" w:eastAsia="zh-CN"/>
              </w:rPr>
              <w:t>6</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BD806">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“百名干部下基层、百名人才进农村”行动的开展。</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9EE9F8">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旗委组织部</w:t>
            </w:r>
          </w:p>
        </w:tc>
        <w:tc>
          <w:tcPr>
            <w:tcW w:w="5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2925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旗委组织部：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1.确定“双百”人员名单；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2.协调各派出单位派遣相关人员到服务点开展服务工作。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履职保障：1.资金保障；2.政策支持。</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B8FA6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1.摸底相关领域的服务需求，邀请双百人才队伍队员开展服务；</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2.组织各相关人员到服务点开展相关服务。</w:t>
            </w:r>
          </w:p>
        </w:tc>
      </w:tr>
      <w:tr w14:paraId="114F56CC">
        <w:tblPrEx>
          <w:tblCellMar>
            <w:top w:w="0" w:type="dxa"/>
            <w:left w:w="0" w:type="dxa"/>
            <w:bottom w:w="0" w:type="dxa"/>
            <w:right w:w="0" w:type="dxa"/>
          </w:tblCellMar>
        </w:tblPrEx>
        <w:trPr>
          <w:cantSplit/>
          <w:trHeight w:val="479" w:hRule="atLeast"/>
          <w:tblHeader/>
        </w:trPr>
        <w:tc>
          <w:tcPr>
            <w:tcW w:w="1541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E490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黑体" w:hAnsi="宋体" w:eastAsia="黑体" w:cs="黑体"/>
                <w:i w:val="0"/>
                <w:color w:val="000000"/>
                <w:kern w:val="0"/>
                <w:sz w:val="28"/>
                <w:szCs w:val="28"/>
                <w:u w:val="none"/>
                <w:lang w:val="en-US" w:eastAsia="zh-CN" w:bidi="ar"/>
              </w:rPr>
              <w:t>二、经济发展（</w:t>
            </w:r>
            <w:r>
              <w:rPr>
                <w:rFonts w:hint="default" w:ascii="黑体" w:hAnsi="宋体" w:eastAsia="黑体" w:cs="黑体"/>
                <w:i w:val="0"/>
                <w:color w:val="000000"/>
                <w:kern w:val="0"/>
                <w:sz w:val="28"/>
                <w:szCs w:val="28"/>
                <w:u w:val="none"/>
                <w:lang w:val="en-US" w:eastAsia="zh-CN" w:bidi="ar"/>
              </w:rPr>
              <w:t>7</w:t>
            </w:r>
            <w:r>
              <w:rPr>
                <w:rFonts w:hint="eastAsia" w:ascii="黑体" w:hAnsi="宋体" w:eastAsia="黑体" w:cs="黑体"/>
                <w:i w:val="0"/>
                <w:color w:val="000000"/>
                <w:kern w:val="0"/>
                <w:sz w:val="28"/>
                <w:szCs w:val="28"/>
                <w:u w:val="none"/>
                <w:lang w:val="en-US" w:eastAsia="zh-CN" w:bidi="ar"/>
              </w:rPr>
              <w:t>项）</w:t>
            </w:r>
          </w:p>
        </w:tc>
      </w:tr>
      <w:tr w14:paraId="5FA17A87">
        <w:tblPrEx>
          <w:shd w:val="clear" w:color="auto" w:fill="auto"/>
          <w:tblCellMar>
            <w:top w:w="0" w:type="dxa"/>
            <w:left w:w="0" w:type="dxa"/>
            <w:bottom w:w="0" w:type="dxa"/>
            <w:right w:w="0" w:type="dxa"/>
          </w:tblCellMar>
        </w:tblPrEx>
        <w:trPr>
          <w:cantSplit/>
          <w:trHeight w:val="874" w:hRule="atLeast"/>
          <w:tblHeader/>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4108E8">
            <w:pPr>
              <w:keepNext w:val="0"/>
              <w:keepLines w:val="0"/>
              <w:widowControl/>
              <w:suppressLineNumbers w:val="0"/>
              <w:jc w:val="center"/>
              <w:textAlignment w:val="center"/>
              <w:rPr>
                <w:rFonts w:hint="eastAsia" w:ascii="Times New Roman Regular" w:hAnsi="Times New Roman Regular" w:eastAsia="Times New Roman Regular" w:cs="Times New Roman Regular"/>
                <w:i w:val="0"/>
                <w:color w:val="000000"/>
                <w:kern w:val="2"/>
                <w:sz w:val="24"/>
                <w:szCs w:val="24"/>
                <w:u w:val="none"/>
                <w:lang w:val="en-US" w:eastAsia="zh-CN" w:bidi="ar-SA"/>
              </w:rPr>
            </w:pPr>
            <w:r>
              <w:rPr>
                <w:rFonts w:hint="eastAsia" w:ascii="Times New Roman Regular" w:hAnsi="Times New Roman Regular" w:eastAsia="Times New Roman Regular" w:cs="Times New Roman Regular"/>
                <w:i w:val="0"/>
                <w:color w:val="000000"/>
                <w:kern w:val="0"/>
                <w:sz w:val="24"/>
                <w:szCs w:val="24"/>
                <w:u w:val="none"/>
                <w:lang w:val="en-US" w:eastAsia="zh-CN" w:bidi="ar"/>
              </w:rPr>
              <w:t>7</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079912">
            <w:pPr>
              <w:keepNext w:val="0"/>
              <w:keepLines w:val="0"/>
              <w:widowControl/>
              <w:suppressLineNumbers w:val="0"/>
              <w:jc w:val="both"/>
              <w:textAlignment w:val="center"/>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eastAsia="仿宋_GB2312" w:cs="仿宋_GB2312"/>
                <w:i w:val="0"/>
                <w:color w:val="000000"/>
                <w:kern w:val="0"/>
                <w:sz w:val="24"/>
                <w:szCs w:val="24"/>
                <w:u w:val="none"/>
                <w:lang w:val="en-US" w:eastAsia="zh-CN" w:bidi="ar"/>
              </w:rPr>
              <w:t>农村牧区集体经济组织资金、资产、资源的监督管理。</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F5054">
            <w:pPr>
              <w:keepNext w:val="0"/>
              <w:keepLines w:val="0"/>
              <w:widowControl/>
              <w:suppressLineNumbers w:val="0"/>
              <w:jc w:val="center"/>
              <w:textAlignment w:val="center"/>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eastAsia="仿宋_GB2312" w:cs="仿宋_GB2312"/>
                <w:i w:val="0"/>
                <w:color w:val="000000"/>
                <w:kern w:val="0"/>
                <w:sz w:val="24"/>
                <w:szCs w:val="24"/>
                <w:u w:val="none"/>
                <w:lang w:val="en-US" w:eastAsia="zh-CN" w:bidi="ar"/>
              </w:rPr>
              <w:t>旗委组织部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旗纪委监委</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旗财政局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旗审计局</w:t>
            </w:r>
          </w:p>
        </w:tc>
        <w:tc>
          <w:tcPr>
            <w:tcW w:w="5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FA73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旗委组织部：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负责强化镇人民政府、嘎查村“两委”干部队伍建设，将“三资”管理内容纳入镇人民政府、嘎查村“两委”干部乡村振兴专题培训内容。</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旗纪委监委：</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1.负责对农村牧区集体“三资”管理中的违纪违法行为进行查处和问责；</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2.监督各部门在农村牧区集体“三资”监管中的履职情况，确保监管工作的公正性和有效性。</w:t>
            </w:r>
          </w:p>
          <w:p w14:paraId="0EC13E3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旗财政局：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1.负责指导嘎查村集体经济组织建立健全财务管理制度，加强预算管理和内部控制，规范资金的使用和管理；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2.指导农村牧区集体资产的评估和处置工作。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2BFE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eastAsia="仿宋_GB2312" w:cs="仿宋_GB2312"/>
                <w:i w:val="0"/>
                <w:color w:val="000000"/>
                <w:kern w:val="0"/>
                <w:sz w:val="24"/>
                <w:szCs w:val="24"/>
                <w:u w:val="none"/>
                <w:lang w:val="en-US" w:eastAsia="zh-CN" w:bidi="ar"/>
              </w:rPr>
              <w:t>1.负责本区域内农村牧区集体“三资”管理工作；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2.组织开展农村牧区集体“三资”的清查、登记、核实和公示工作；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3.指导、监督嘎查村集体经济组织建立健全“三资”管理制度，并开展日常监管工作；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4.协调处理农村牧区集体“三资”管理中的重大问题和纠纷，为“三资”监管提供必要的支持和服务。</w:t>
            </w:r>
          </w:p>
        </w:tc>
      </w:tr>
    </w:tbl>
    <w:p w14:paraId="219CC898"/>
    <w:p w14:paraId="4D17132A"/>
    <w:tbl>
      <w:tblPr>
        <w:tblStyle w:val="4"/>
        <w:tblW w:w="4997" w:type="pct"/>
        <w:tblInd w:w="0" w:type="dxa"/>
        <w:shd w:val="clear" w:color="auto" w:fill="auto"/>
        <w:tblLayout w:type="fixed"/>
        <w:tblCellMar>
          <w:top w:w="0" w:type="dxa"/>
          <w:left w:w="0" w:type="dxa"/>
          <w:bottom w:w="0" w:type="dxa"/>
          <w:right w:w="0" w:type="dxa"/>
        </w:tblCellMar>
      </w:tblPr>
      <w:tblGrid>
        <w:gridCol w:w="922"/>
        <w:gridCol w:w="1712"/>
        <w:gridCol w:w="2714"/>
        <w:gridCol w:w="5414"/>
        <w:gridCol w:w="4657"/>
      </w:tblGrid>
      <w:tr w14:paraId="33EE8B0E">
        <w:tblPrEx>
          <w:shd w:val="clear" w:color="auto" w:fill="auto"/>
          <w:tblCellMar>
            <w:top w:w="0" w:type="dxa"/>
            <w:left w:w="0" w:type="dxa"/>
            <w:bottom w:w="0" w:type="dxa"/>
            <w:right w:w="0" w:type="dxa"/>
          </w:tblCellMar>
        </w:tblPrEx>
        <w:trPr>
          <w:trHeight w:val="9421"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7C4E7">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000000"/>
                <w:kern w:val="0"/>
                <w:sz w:val="24"/>
                <w:szCs w:val="24"/>
                <w:u w:val="none"/>
                <w:lang w:val="en-US" w:eastAsia="zh-CN" w:bidi="ar"/>
              </w:rPr>
            </w:pPr>
            <w:r>
              <w:rPr>
                <w:rFonts w:hint="eastAsia" w:ascii="Times New Roman Regular" w:hAnsi="Times New Roman Regular" w:eastAsia="Times New Roman Regular" w:cs="Times New Roman Regular"/>
                <w:i w:val="0"/>
                <w:color w:val="000000"/>
                <w:kern w:val="0"/>
                <w:sz w:val="24"/>
                <w:szCs w:val="24"/>
                <w:u w:val="none"/>
                <w:lang w:val="en-US" w:eastAsia="zh-CN" w:bidi="ar"/>
              </w:rPr>
              <w:t>7</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D7B775">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农村牧区集体经济组织资金、资产、资源的监督管理。</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15A852">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旗委组织部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旗纪委监委</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旗财政局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旗审计局</w:t>
            </w:r>
          </w:p>
        </w:tc>
        <w:tc>
          <w:tcPr>
            <w:tcW w:w="54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701531">
            <w:pPr>
              <w:jc w:val="both"/>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1.负责农村牧区土地所有权的确权，确保土地资源的合理利用和可持续发展；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2.开展集体建设用地使用权流转的监督管理，维护土地市场的稳定和公平。</w:t>
            </w:r>
          </w:p>
          <w:p w14:paraId="47CB2713">
            <w:pPr>
              <w:jc w:val="both"/>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1.负责农村牧区集体耕地的承包经营权确权、“三权”分置、经营权流转管理等相关工作；负责农村牧区集体资金和资产的财务、会计、审计等业务指导工作；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严格按照《农村集体经济组织会计制度》《农村集体经济组织财务制度》等规定对农村牧区集体经济组织进行会计核算和财务管理，实施会计监督；负责审核农村牧区集体经济组织报账员报送的票据，对符合财务制度及相关规定的票据予以入账，对不符合财务制度及相关规定的票据不予入账；落实农村牧区集体资产清产核资要求，及时做好资金、资产、资源台账的核对工作，做到账账相符、账实相符；负责编报财务报告，提供真实完整准确的各类会计信息，建立健全会计档案管理制度，及时整理村级会计档案，分类编号，装订成册，统一保管。</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1.负责指导农村牧区林地、林木和草原承包经营、流转管理；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2.负责林业资产的登记、造册、评估、保管和处置等工作，确保集体资产的完整性和安全性；</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3.指导农村牧区集体经济组织合理利用集体资源，确保资源的可持续利用和生态安全。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旗审计局：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负责对农村牧区集体“三资”进行审计监督，确保各项经济活动合法合规，揭露和纠正存在的问题。</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履职保障：业务指导。</w:t>
            </w:r>
          </w:p>
        </w:tc>
        <w:tc>
          <w:tcPr>
            <w:tcW w:w="46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F7C00">
            <w:pPr>
              <w:jc w:val="both"/>
              <w:rPr>
                <w:rFonts w:hint="eastAsia" w:ascii="仿宋_GB2312" w:hAnsi="宋体" w:eastAsia="仿宋_GB2312" w:cs="仿宋_GB2312"/>
                <w:i w:val="0"/>
                <w:color w:val="000000"/>
                <w:kern w:val="0"/>
                <w:sz w:val="24"/>
                <w:szCs w:val="24"/>
                <w:u w:val="none"/>
                <w:lang w:val="en-US" w:eastAsia="zh-CN" w:bidi="ar"/>
              </w:rPr>
            </w:pPr>
          </w:p>
        </w:tc>
      </w:tr>
      <w:tr w14:paraId="530CB5AB">
        <w:tblPrEx>
          <w:shd w:val="clear" w:color="auto" w:fill="auto"/>
          <w:tblCellMar>
            <w:top w:w="0" w:type="dxa"/>
            <w:left w:w="0" w:type="dxa"/>
            <w:bottom w:w="0" w:type="dxa"/>
            <w:right w:w="0" w:type="dxa"/>
          </w:tblCellMar>
        </w:tblPrEx>
        <w:trPr>
          <w:trHeight w:val="3002"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32DE7C">
            <w:pPr>
              <w:keepNext w:val="0"/>
              <w:keepLines w:val="0"/>
              <w:widowControl/>
              <w:suppressLineNumbers w:val="0"/>
              <w:jc w:val="center"/>
              <w:textAlignment w:val="center"/>
              <w:rPr>
                <w:rFonts w:hint="eastAsia" w:ascii="Times New Roman Regular" w:hAnsi="Times New Roman Regular" w:eastAsia="宋体" w:cs="Times New Roman Regular"/>
                <w:i w:val="0"/>
                <w:color w:val="000000"/>
                <w:sz w:val="24"/>
                <w:szCs w:val="24"/>
                <w:u w:val="none"/>
                <w:lang w:val="en-US" w:eastAsia="zh-CN"/>
              </w:rPr>
            </w:pPr>
            <w:r>
              <w:rPr>
                <w:rFonts w:hint="eastAsia" w:ascii="Times New Roman Regular" w:hAnsi="Times New Roman Regular" w:eastAsia="宋体" w:cs="Times New Roman Regular"/>
                <w:i w:val="0"/>
                <w:color w:val="000000"/>
                <w:sz w:val="24"/>
                <w:szCs w:val="24"/>
                <w:u w:val="none"/>
                <w:lang w:val="en-US" w:eastAsia="zh-CN"/>
              </w:rPr>
              <w:t>8</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141188">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农牧民负担监督管理工作。</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6BE07F">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p>
        </w:tc>
        <w:tc>
          <w:tcPr>
            <w:tcW w:w="54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1136A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1.检查有关农牧民负担管理的法律法规和政策的执行情况；</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2.会同有关主管部门审核涉及农牧民负担的文件；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3.协调处理涉及农牧民负担的案件；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4.对上报的农牧民负担隐患进行处置；</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5.培训农牧民负担监督管理工作人员。</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履职保障：1.业务指导；2.业务培训。</w:t>
            </w:r>
          </w:p>
        </w:tc>
        <w:tc>
          <w:tcPr>
            <w:tcW w:w="46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E27A1">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1.发现上报农牧民负担隐患；</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2.配合相关部门做好处置工作。</w:t>
            </w:r>
          </w:p>
        </w:tc>
      </w:tr>
      <w:tr w14:paraId="137EDB4C">
        <w:tblPrEx>
          <w:shd w:val="clear" w:color="auto" w:fill="auto"/>
          <w:tblCellMar>
            <w:top w:w="0" w:type="dxa"/>
            <w:left w:w="0" w:type="dxa"/>
            <w:bottom w:w="0" w:type="dxa"/>
            <w:right w:w="0" w:type="dxa"/>
          </w:tblCellMar>
        </w:tblPrEx>
        <w:trPr>
          <w:trHeight w:val="1907"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366201">
            <w:pPr>
              <w:keepNext w:val="0"/>
              <w:keepLines w:val="0"/>
              <w:widowControl/>
              <w:suppressLineNumbers w:val="0"/>
              <w:jc w:val="center"/>
              <w:textAlignment w:val="center"/>
              <w:rPr>
                <w:rFonts w:hint="eastAsia" w:ascii="Times New Roman Regular" w:hAnsi="Times New Roman Regular" w:eastAsia="宋体" w:cs="Times New Roman Regular"/>
                <w:i w:val="0"/>
                <w:color w:val="000000"/>
                <w:sz w:val="24"/>
                <w:szCs w:val="24"/>
                <w:u w:val="none"/>
                <w:lang w:val="en-US" w:eastAsia="zh-CN"/>
              </w:rPr>
            </w:pPr>
            <w:r>
              <w:rPr>
                <w:rFonts w:hint="eastAsia" w:ascii="Times New Roman Regular" w:hAnsi="Times New Roman Regular" w:eastAsia="宋体" w:cs="Times New Roman Regular"/>
                <w:i w:val="0"/>
                <w:color w:val="000000"/>
                <w:sz w:val="24"/>
                <w:szCs w:val="24"/>
                <w:u w:val="none"/>
                <w:lang w:val="en-US" w:eastAsia="zh-CN"/>
              </w:rPr>
              <w:t>9</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4DD47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项目用地预审与选址。</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B8A58">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旗自然资源局</w:t>
            </w:r>
          </w:p>
        </w:tc>
        <w:tc>
          <w:tcPr>
            <w:tcW w:w="54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15F8C">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1.出具用地预审文件；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2.划拨类项目建设项目用地预审选址意见书核发。</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履职保障：业务指导。</w:t>
            </w:r>
          </w:p>
        </w:tc>
        <w:tc>
          <w:tcPr>
            <w:tcW w:w="46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B4AAAB">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1.接收项目用地申请；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2.提交会议研究同意；</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3.出具项目初步选址意见。</w:t>
            </w:r>
          </w:p>
        </w:tc>
      </w:tr>
      <w:tr w14:paraId="5B417985">
        <w:tblPrEx>
          <w:tblCellMar>
            <w:top w:w="0" w:type="dxa"/>
            <w:left w:w="0" w:type="dxa"/>
            <w:bottom w:w="0" w:type="dxa"/>
            <w:right w:w="0" w:type="dxa"/>
          </w:tblCellMar>
        </w:tblPrEx>
        <w:trPr>
          <w:trHeight w:val="5158"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AC6B2">
            <w:pPr>
              <w:keepNext w:val="0"/>
              <w:keepLines w:val="0"/>
              <w:widowControl/>
              <w:suppressLineNumbers w:val="0"/>
              <w:jc w:val="center"/>
              <w:textAlignment w:val="center"/>
              <w:rPr>
                <w:rFonts w:hint="default" w:ascii="Times New Roman Regular" w:hAnsi="Times New Roman Regular" w:eastAsia="宋体" w:cs="Times New Roman Regular"/>
                <w:i w:val="0"/>
                <w:color w:val="000000"/>
                <w:sz w:val="24"/>
                <w:szCs w:val="24"/>
                <w:u w:val="none"/>
                <w:lang w:val="en-US" w:eastAsia="zh-CN"/>
              </w:rPr>
            </w:pPr>
            <w:r>
              <w:rPr>
                <w:rFonts w:hint="eastAsia" w:ascii="Times New Roman Regular" w:hAnsi="Times New Roman Regular" w:eastAsia="宋体" w:cs="Times New Roman Regular"/>
                <w:i w:val="0"/>
                <w:color w:val="000000"/>
                <w:sz w:val="24"/>
                <w:szCs w:val="24"/>
                <w:u w:val="none"/>
                <w:lang w:val="en-US" w:eastAsia="zh-CN"/>
              </w:rPr>
              <w:t>10</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C25BB7">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临时用地项目审批及复垦还地工作。</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81F33B">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旗林业和草原局</w:t>
            </w:r>
          </w:p>
        </w:tc>
        <w:tc>
          <w:tcPr>
            <w:tcW w:w="54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3289F1">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1.负责临时用地的审批、管理（建立临时用地档案和管理台账）；</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2.根据补偿到位证明材料进行审批；</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3.负责督促指导临时用地复垦和验收；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4.对逾期未复垦的，牵头组织复垦，复垦费用从三方监管账户支出。</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1.负责占用林草地的临时用地的审批、管理（建立占用林草地的临时用地档案和管理台账）；</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2.根据补偿到位证明材料进行审批；</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3.负责督促指导临时用地复垦和验收；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4.对逾期未复垦的，牵头组织复垦，复垦费用从三方监管账户支出。</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履职保障：业务指导。</w:t>
            </w:r>
          </w:p>
        </w:tc>
        <w:tc>
          <w:tcPr>
            <w:tcW w:w="46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71C1E">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1.接收临时用地申请；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2.对申请进行初审；</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3.指导、协调签订临时用地合同；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4.协调兑付临时用地补偿，并出具补偿到位证明；</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5.配合做好现场查验；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6.配合做好土地复垦还地工作。</w:t>
            </w:r>
          </w:p>
        </w:tc>
      </w:tr>
      <w:tr w14:paraId="4FA62AAF">
        <w:tblPrEx>
          <w:tblCellMar>
            <w:top w:w="0" w:type="dxa"/>
            <w:left w:w="0" w:type="dxa"/>
            <w:bottom w:w="0" w:type="dxa"/>
            <w:right w:w="0" w:type="dxa"/>
          </w:tblCellMar>
        </w:tblPrEx>
        <w:trPr>
          <w:trHeight w:val="4325"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68841D">
            <w:pPr>
              <w:keepNext w:val="0"/>
              <w:keepLines w:val="0"/>
              <w:widowControl/>
              <w:suppressLineNumbers w:val="0"/>
              <w:jc w:val="center"/>
              <w:textAlignment w:val="center"/>
              <w:rPr>
                <w:rFonts w:hint="default" w:ascii="Times New Roman Regular" w:hAnsi="Times New Roman Regular" w:eastAsia="宋体" w:cs="Times New Roman Regular"/>
                <w:i w:val="0"/>
                <w:color w:val="000000"/>
                <w:sz w:val="24"/>
                <w:szCs w:val="24"/>
                <w:u w:val="none"/>
                <w:lang w:val="en-US" w:eastAsia="zh-CN"/>
              </w:rPr>
            </w:pPr>
            <w:r>
              <w:rPr>
                <w:rFonts w:hint="eastAsia" w:ascii="Times New Roman Regular" w:hAnsi="Times New Roman Regular" w:eastAsia="宋体" w:cs="Times New Roman Regular"/>
                <w:i w:val="0"/>
                <w:color w:val="000000"/>
                <w:sz w:val="24"/>
                <w:szCs w:val="24"/>
                <w:u w:val="none"/>
                <w:lang w:val="en-US" w:eastAsia="zh-CN"/>
              </w:rPr>
              <w:t>11</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3C47F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开展土地征收、征用工作。</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388650">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旗自然资源局</w:t>
            </w:r>
          </w:p>
        </w:tc>
        <w:tc>
          <w:tcPr>
            <w:tcW w:w="54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3F0989">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1.开展现状调查和风险评估；</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2.发布征收（征用）预公告；</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3.拟定征地征用补偿安置方案；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4.组织召开听证会；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5.组织签订征地征用补偿安置协议；</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6.落实土地补偿费、安置补助费、农村村民住宅以及其他地上附着物和青苗等的补偿费用、社会保障费用等。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履职保障：1.业务指导；2.政策保障；3.人员保障。</w:t>
            </w:r>
          </w:p>
        </w:tc>
        <w:tc>
          <w:tcPr>
            <w:tcW w:w="46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D4AC59">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1.配合落实土地补偿费、安置补助费、农村村民住宅以及其他地上附着物和青苗等的补偿费用、社会保障费用;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2.配合协调土地征收征用过程中的矛盾纠纷。</w:t>
            </w:r>
          </w:p>
        </w:tc>
      </w:tr>
      <w:tr w14:paraId="4AE7B08D">
        <w:tblPrEx>
          <w:shd w:val="clear" w:color="auto" w:fill="auto"/>
          <w:tblCellMar>
            <w:top w:w="0" w:type="dxa"/>
            <w:left w:w="0" w:type="dxa"/>
            <w:bottom w:w="0" w:type="dxa"/>
            <w:right w:w="0" w:type="dxa"/>
          </w:tblCellMar>
        </w:tblPrEx>
        <w:trPr>
          <w:trHeight w:val="5748"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EF193">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000000"/>
                <w:sz w:val="24"/>
                <w:szCs w:val="24"/>
                <w:u w:val="none"/>
                <w:lang w:val="en-US"/>
              </w:rPr>
            </w:pPr>
            <w:r>
              <w:rPr>
                <w:rFonts w:hint="default" w:ascii="Times New Roman Regular" w:hAnsi="Times New Roman Regular" w:eastAsia="Times New Roman Regular" w:cs="Times New Roman Regular"/>
                <w:i w:val="0"/>
                <w:color w:val="000000"/>
                <w:kern w:val="0"/>
                <w:sz w:val="24"/>
                <w:szCs w:val="24"/>
                <w:u w:val="none"/>
                <w:lang w:val="en-US" w:eastAsia="zh-CN" w:bidi="ar"/>
              </w:rPr>
              <w:t>1</w:t>
            </w:r>
            <w:r>
              <w:rPr>
                <w:rFonts w:hint="eastAsia" w:ascii="Times New Roman Regular" w:hAnsi="Times New Roman Regular" w:eastAsia="Times New Roman Regular" w:cs="Times New Roman Regular"/>
                <w:i w:val="0"/>
                <w:color w:val="000000"/>
                <w:kern w:val="0"/>
                <w:sz w:val="24"/>
                <w:szCs w:val="24"/>
                <w:u w:val="none"/>
                <w:lang w:val="en-US" w:eastAsia="zh-CN" w:bidi="ar"/>
              </w:rPr>
              <w:t>2</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D82427">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国有土地上房屋的征收。</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68A4B4">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p>
        </w:tc>
        <w:tc>
          <w:tcPr>
            <w:tcW w:w="54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7DC8F4">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1.发布征收预公告，组织实施本行政区域内的国有土地上房屋征收与补偿工作；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2.开展拟征收范围现状调查登记（征收范围内国有土地上房屋的权属、位置、用途、面积等情况）、征询被征收人的征收意愿和开展社会稳定风险评估，拟定征收补偿安置方案；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3.将拟定的征收补偿安置方案在政府门户网站和拟征收房屋所在的镇、社区内予以公告；</w:t>
            </w:r>
          </w:p>
          <w:p w14:paraId="3C1D5663">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4.作出征收决定；</w:t>
            </w:r>
          </w:p>
          <w:p w14:paraId="3AA1CFE3">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5.组织测算、确定安置人员名单，与被征收户签订征收补偿安置协议；</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6.补偿安置。</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履职保障：1.业务指导；2.人员保障。</w:t>
            </w:r>
          </w:p>
        </w:tc>
        <w:tc>
          <w:tcPr>
            <w:tcW w:w="46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FEE48">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1.协助住房和城乡建设局做好政策宣传解释工作；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2.协助做好房屋征收民意调查和产权情况摸底工作；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3.协助做好房屋征收社会风险评估入户工作。</w:t>
            </w:r>
          </w:p>
        </w:tc>
      </w:tr>
    </w:tbl>
    <w:p w14:paraId="7B2A3B61"/>
    <w:tbl>
      <w:tblPr>
        <w:tblStyle w:val="4"/>
        <w:tblW w:w="4997" w:type="pct"/>
        <w:tblInd w:w="0" w:type="dxa"/>
        <w:shd w:val="clear" w:color="auto" w:fill="auto"/>
        <w:tblLayout w:type="fixed"/>
        <w:tblCellMar>
          <w:top w:w="0" w:type="dxa"/>
          <w:left w:w="0" w:type="dxa"/>
          <w:bottom w:w="0" w:type="dxa"/>
          <w:right w:w="0" w:type="dxa"/>
        </w:tblCellMar>
      </w:tblPr>
      <w:tblGrid>
        <w:gridCol w:w="922"/>
        <w:gridCol w:w="1712"/>
        <w:gridCol w:w="2714"/>
        <w:gridCol w:w="5396"/>
        <w:gridCol w:w="4675"/>
      </w:tblGrid>
      <w:tr w14:paraId="0D9670E0">
        <w:tblPrEx>
          <w:tblCellMar>
            <w:top w:w="0" w:type="dxa"/>
            <w:left w:w="0" w:type="dxa"/>
            <w:bottom w:w="0" w:type="dxa"/>
            <w:right w:w="0" w:type="dxa"/>
          </w:tblCellMar>
        </w:tblPrEx>
        <w:trPr>
          <w:trHeight w:val="3275"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AA5519">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000000"/>
                <w:sz w:val="24"/>
                <w:szCs w:val="24"/>
                <w:u w:val="none"/>
                <w:lang w:val="en-US"/>
              </w:rPr>
            </w:pPr>
            <w:r>
              <w:rPr>
                <w:rFonts w:hint="default" w:ascii="Times New Roman Regular" w:hAnsi="Times New Roman Regular" w:eastAsia="Times New Roman Regular" w:cs="Times New Roman Regular"/>
                <w:i w:val="0"/>
                <w:color w:val="000000"/>
                <w:kern w:val="0"/>
                <w:sz w:val="24"/>
                <w:szCs w:val="24"/>
                <w:u w:val="none"/>
                <w:lang w:val="en-US" w:eastAsia="zh-CN" w:bidi="ar"/>
              </w:rPr>
              <w:t>1</w:t>
            </w:r>
            <w:r>
              <w:rPr>
                <w:rFonts w:hint="eastAsia" w:ascii="Times New Roman Regular" w:hAnsi="Times New Roman Regular" w:eastAsia="Times New Roman Regular" w:cs="Times New Roman Regular"/>
                <w:i w:val="0"/>
                <w:color w:val="000000"/>
                <w:kern w:val="0"/>
                <w:sz w:val="24"/>
                <w:szCs w:val="24"/>
                <w:u w:val="none"/>
                <w:lang w:val="en-US" w:eastAsia="zh-CN" w:bidi="ar"/>
              </w:rPr>
              <w:t>3</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5827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推动石油、天然气等资源的开发利用。</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05C54">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旗能源局</w:t>
            </w:r>
          </w:p>
        </w:tc>
        <w:tc>
          <w:tcPr>
            <w:tcW w:w="5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55138C">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旗能源局：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1.负责落实国家和自治区、市级能源政策，推动油气资源合理开发；</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2.协调油气勘探、开发、储运等环节的跨部门合作（如自然资源、生态环境、应急管理等部门），监督油气企业依法合规开展项目建设和运营；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3.监督油气长输管道企业落实安全生产主体责任，定期检查油气长输管道；</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4.确保本旗油气资源稳定供应。</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履职保障：1.业务指导；2.资金保障。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470AF2">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1.配合能源局协调企业施工过程中的矛盾纠纷；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2.核实企业提供的补偿人员名单；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3.录入一卡通系统，发放补偿。</w:t>
            </w:r>
          </w:p>
        </w:tc>
      </w:tr>
      <w:tr w14:paraId="6916A608">
        <w:tblPrEx>
          <w:tblCellMar>
            <w:top w:w="0" w:type="dxa"/>
            <w:left w:w="0" w:type="dxa"/>
            <w:bottom w:w="0" w:type="dxa"/>
            <w:right w:w="0" w:type="dxa"/>
          </w:tblCellMar>
        </w:tblPrEx>
        <w:trPr>
          <w:trHeight w:val="740" w:hRule="atLeast"/>
        </w:trPr>
        <w:tc>
          <w:tcPr>
            <w:tcW w:w="1541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803CEA">
            <w:pPr>
              <w:keepNext w:val="0"/>
              <w:keepLines w:val="0"/>
              <w:widowControl/>
              <w:suppressLineNumbers w:val="0"/>
              <w:jc w:val="left"/>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三、民生服务（</w:t>
            </w:r>
            <w:r>
              <w:rPr>
                <w:rFonts w:hint="default" w:ascii="黑体" w:hAnsi="宋体" w:eastAsia="黑体" w:cs="黑体"/>
                <w:i w:val="0"/>
                <w:color w:val="000000"/>
                <w:kern w:val="0"/>
                <w:sz w:val="28"/>
                <w:szCs w:val="28"/>
                <w:u w:val="none"/>
                <w:lang w:val="en-US" w:eastAsia="zh-CN" w:bidi="ar"/>
              </w:rPr>
              <w:t>13</w:t>
            </w:r>
            <w:r>
              <w:rPr>
                <w:rFonts w:hint="default" w:ascii="Times New Roman" w:hAnsi="Times New Roman" w:eastAsia="黑体" w:cs="Times New Roman"/>
                <w:i w:val="0"/>
                <w:color w:val="000000"/>
                <w:kern w:val="0"/>
                <w:sz w:val="28"/>
                <w:szCs w:val="28"/>
                <w:u w:val="none"/>
                <w:lang w:val="en-US" w:eastAsia="zh-CN" w:bidi="ar"/>
              </w:rPr>
              <w:t>项</w:t>
            </w:r>
            <w:r>
              <w:rPr>
                <w:rFonts w:hint="eastAsia" w:ascii="黑体" w:hAnsi="宋体" w:eastAsia="黑体" w:cs="黑体"/>
                <w:i w:val="0"/>
                <w:color w:val="000000"/>
                <w:kern w:val="0"/>
                <w:sz w:val="28"/>
                <w:szCs w:val="28"/>
                <w:u w:val="none"/>
                <w:lang w:val="en-US" w:eastAsia="zh-CN" w:bidi="ar"/>
              </w:rPr>
              <w:t>）</w:t>
            </w:r>
          </w:p>
        </w:tc>
      </w:tr>
      <w:tr w14:paraId="510B2D32">
        <w:tblPrEx>
          <w:tblCellMar>
            <w:top w:w="0" w:type="dxa"/>
            <w:left w:w="0" w:type="dxa"/>
            <w:bottom w:w="0" w:type="dxa"/>
            <w:right w:w="0" w:type="dxa"/>
          </w:tblCellMar>
        </w:tblPrEx>
        <w:trPr>
          <w:trHeight w:val="3032"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802C9">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000000"/>
                <w:sz w:val="24"/>
                <w:szCs w:val="24"/>
                <w:u w:val="none"/>
                <w:lang w:val="en-US"/>
              </w:rPr>
            </w:pPr>
            <w:r>
              <w:rPr>
                <w:rFonts w:hint="eastAsia" w:ascii="Times New Roman Regular" w:hAnsi="Times New Roman Regular" w:eastAsia="Times New Roman Regular" w:cs="Times New Roman Regular"/>
                <w:i w:val="0"/>
                <w:color w:val="000000"/>
                <w:kern w:val="0"/>
                <w:sz w:val="24"/>
                <w:szCs w:val="24"/>
                <w:u w:val="none"/>
                <w:lang w:val="en-US" w:eastAsia="zh-CN" w:bidi="ar"/>
              </w:rPr>
              <w:t>14</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12C58">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特殊家庭失能、半失能老人养老护理补贴的初审、公示及上报。</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9ACF64">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旗卫生健康委员会</w:t>
            </w:r>
          </w:p>
        </w:tc>
        <w:tc>
          <w:tcPr>
            <w:tcW w:w="5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AAFE6">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旗卫生健康委员会：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负责特殊家庭失能、半失能老人资格确认及上报，资金管理和发放，归档保存等工作。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履职保障：业务指导。</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62800">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1.受理各嘎查村（社区）汇总审核后的申请材料；</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2.审核各嘎查村（社区）提交的申报材料并提出初步审批意见，对于符合政策的申报人进行公示；</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3.将整理好的材料及审批表提交卫生健康委员会审核；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4.核实好名单并录入一卡通；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5.动态调整信息台账。</w:t>
            </w:r>
          </w:p>
        </w:tc>
      </w:tr>
      <w:tr w14:paraId="2AE6D3E2">
        <w:tblPrEx>
          <w:tblCellMar>
            <w:top w:w="0" w:type="dxa"/>
            <w:left w:w="0" w:type="dxa"/>
            <w:bottom w:w="0" w:type="dxa"/>
            <w:right w:w="0" w:type="dxa"/>
          </w:tblCellMar>
        </w:tblPrEx>
        <w:trPr>
          <w:trHeight w:val="3158"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1C2B16">
            <w:pPr>
              <w:keepNext w:val="0"/>
              <w:keepLines w:val="0"/>
              <w:widowControl/>
              <w:suppressLineNumbers w:val="0"/>
              <w:jc w:val="center"/>
              <w:textAlignment w:val="center"/>
              <w:rPr>
                <w:rFonts w:hint="default" w:ascii="Times New Roman Regular" w:hAnsi="Times New Roman Regular" w:eastAsia="宋体" w:cs="Times New Roman Regular"/>
                <w:i w:val="0"/>
                <w:color w:val="000000"/>
                <w:sz w:val="24"/>
                <w:szCs w:val="24"/>
                <w:u w:val="none"/>
                <w:lang w:val="en-US" w:eastAsia="zh-CN"/>
              </w:rPr>
            </w:pPr>
            <w:r>
              <w:rPr>
                <w:rFonts w:hint="eastAsia" w:ascii="Times New Roman Regular" w:hAnsi="Times New Roman Regular" w:eastAsia="宋体" w:cs="Times New Roman Regular"/>
                <w:i w:val="0"/>
                <w:color w:val="000000"/>
                <w:sz w:val="24"/>
                <w:szCs w:val="24"/>
                <w:u w:val="none"/>
                <w:lang w:val="en-US" w:eastAsia="zh-CN"/>
              </w:rPr>
              <w:t>15</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EFD24B">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追缴超领、冒领计划生育各类扶助资金、补助资金。</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19E298">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旗卫生健康委员会</w:t>
            </w:r>
          </w:p>
        </w:tc>
        <w:tc>
          <w:tcPr>
            <w:tcW w:w="5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4CB2C9">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旗卫生健康委员会：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1.开展调查核实，确认超领、冒领对象及金额；</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2.发现超领、冒领后，及时书面通知当事人，说明情况并要求其返还超领、冒领的资金；</w:t>
            </w:r>
          </w:p>
          <w:p w14:paraId="61C1CF40">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3.对拒不返还的，通过法律渠道追缴；</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4.严格审核程序，从源头防范。</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履职保障：业务指导。</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9E17E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1.建立台账；</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2.提供追缴对象相关信息情况。</w:t>
            </w:r>
          </w:p>
        </w:tc>
      </w:tr>
      <w:tr w14:paraId="2A451F60">
        <w:tblPrEx>
          <w:tblCellMar>
            <w:top w:w="0" w:type="dxa"/>
            <w:left w:w="0" w:type="dxa"/>
            <w:bottom w:w="0" w:type="dxa"/>
            <w:right w:w="0" w:type="dxa"/>
          </w:tblCellMar>
        </w:tblPrEx>
        <w:trPr>
          <w:trHeight w:val="240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9EA0A6">
            <w:pPr>
              <w:keepNext w:val="0"/>
              <w:keepLines w:val="0"/>
              <w:widowControl/>
              <w:suppressLineNumbers w:val="0"/>
              <w:jc w:val="center"/>
              <w:textAlignment w:val="center"/>
              <w:rPr>
                <w:rFonts w:hint="default" w:ascii="Times New Roman Regular" w:hAnsi="Times New Roman Regular" w:eastAsia="宋体" w:cs="Times New Roman Regular"/>
                <w:i w:val="0"/>
                <w:color w:val="000000"/>
                <w:sz w:val="24"/>
                <w:szCs w:val="24"/>
                <w:u w:val="none"/>
                <w:lang w:val="en-US" w:eastAsia="zh-CN"/>
              </w:rPr>
            </w:pPr>
            <w:r>
              <w:rPr>
                <w:rFonts w:hint="eastAsia" w:ascii="Times New Roman Regular" w:hAnsi="Times New Roman Regular" w:eastAsia="宋体" w:cs="Times New Roman Regular"/>
                <w:i w:val="0"/>
                <w:color w:val="000000"/>
                <w:sz w:val="24"/>
                <w:szCs w:val="24"/>
                <w:u w:val="none"/>
                <w:lang w:val="en-US" w:eastAsia="zh-CN"/>
              </w:rPr>
              <w:t>16</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890CB">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协调处理辖区内拖欠农民工工资问题。</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527A28">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旗人力资源和社会保障局</w:t>
            </w:r>
          </w:p>
        </w:tc>
        <w:tc>
          <w:tcPr>
            <w:tcW w:w="5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724D47">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旗人力资源和社会保障局：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1.制定并执行劳动保障政策，严格执行劳动保障法律法规，监督用人单位依法签订劳动合同、缴纳社会保险；</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2.建立健全农民工工资支付保障制度，对工资支付情况开展日常巡查与专项检查，对镇上报的问题及时受理；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3.受理农民工工资拖欠投诉举报，依法开展调查取证，责令欠薪单位限期支付，对拒不支付的实施行政处罚或移送司法机关，同时加强多部门联动，开展联合执法行动。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履职保障：业务指导。</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CA3F6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1.安排调解员进行调解，帮助双方厘清事实、分清责任，并引导双方达成调解协议；</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2.搜集欠薪证据，稳定农民工情绪，对于一时难以解决的欠薪问题，上报劳动监察部门；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3.对于争议较大的，积极引导双方到人民法院，通过诉讼程序解决。</w:t>
            </w:r>
          </w:p>
        </w:tc>
      </w:tr>
      <w:tr w14:paraId="6CC5BB35">
        <w:tblPrEx>
          <w:shd w:val="clear" w:color="auto" w:fill="auto"/>
          <w:tblCellMar>
            <w:top w:w="0" w:type="dxa"/>
            <w:left w:w="0" w:type="dxa"/>
            <w:bottom w:w="0" w:type="dxa"/>
            <w:right w:w="0" w:type="dxa"/>
          </w:tblCellMar>
        </w:tblPrEx>
        <w:trPr>
          <w:trHeight w:val="132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7790FF">
            <w:pPr>
              <w:keepNext w:val="0"/>
              <w:keepLines w:val="0"/>
              <w:widowControl/>
              <w:suppressLineNumbers w:val="0"/>
              <w:jc w:val="center"/>
              <w:textAlignment w:val="center"/>
              <w:rPr>
                <w:rFonts w:hint="default" w:ascii="Times New Roman Regular" w:hAnsi="Times New Roman Regular" w:eastAsia="宋体" w:cs="Times New Roman Regular"/>
                <w:i w:val="0"/>
                <w:color w:val="000000"/>
                <w:sz w:val="24"/>
                <w:szCs w:val="24"/>
                <w:u w:val="none"/>
                <w:lang w:val="en-US" w:eastAsia="zh-CN"/>
              </w:rPr>
            </w:pPr>
            <w:r>
              <w:rPr>
                <w:rFonts w:hint="eastAsia" w:ascii="Times New Roman Regular" w:hAnsi="Times New Roman Regular" w:eastAsia="宋体" w:cs="Times New Roman Regular"/>
                <w:i w:val="0"/>
                <w:color w:val="000000"/>
                <w:sz w:val="24"/>
                <w:szCs w:val="24"/>
                <w:u w:val="none"/>
                <w:lang w:val="en-US" w:eastAsia="zh-CN"/>
              </w:rPr>
              <w:t>17</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84EB80">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病媒生物防制工作。</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8D2547">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旗卫生健康委员会</w:t>
            </w:r>
          </w:p>
        </w:tc>
        <w:tc>
          <w:tcPr>
            <w:tcW w:w="5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67BEA2">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旗卫生健康委员会：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1.负责辖区病媒生物监测及数据的收集；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2.通过合理防制措施开展全旗病媒生物防制工作，将病媒生物密度控制在较低水平。</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履职保障：1.政策支持；2.业务培训。</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D7DE83">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1.进行病媒生物宣传；</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2.张贴病媒生物标识；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3.发放鼠药，粘鼠贴，蟑螂药，粘蟑螂贴，毒饵站。</w:t>
            </w:r>
          </w:p>
        </w:tc>
      </w:tr>
      <w:tr w14:paraId="0A6FF458">
        <w:tblPrEx>
          <w:shd w:val="clear" w:color="auto" w:fill="auto"/>
          <w:tblCellMar>
            <w:top w:w="0" w:type="dxa"/>
            <w:left w:w="0" w:type="dxa"/>
            <w:bottom w:w="0" w:type="dxa"/>
            <w:right w:w="0" w:type="dxa"/>
          </w:tblCellMar>
        </w:tblPrEx>
        <w:trPr>
          <w:trHeight w:val="19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53968D">
            <w:pPr>
              <w:keepNext w:val="0"/>
              <w:keepLines w:val="0"/>
              <w:widowControl/>
              <w:suppressLineNumbers w:val="0"/>
              <w:jc w:val="center"/>
              <w:textAlignment w:val="center"/>
              <w:rPr>
                <w:rFonts w:hint="default" w:ascii="Times New Roman Regular" w:hAnsi="Times New Roman Regular" w:eastAsia="宋体" w:cs="Times New Roman Regular"/>
                <w:i w:val="0"/>
                <w:color w:val="000000"/>
                <w:sz w:val="24"/>
                <w:szCs w:val="24"/>
                <w:u w:val="none"/>
                <w:lang w:val="en-US" w:eastAsia="zh-CN"/>
              </w:rPr>
            </w:pPr>
            <w:r>
              <w:rPr>
                <w:rFonts w:hint="eastAsia" w:ascii="Times New Roman Regular" w:hAnsi="Times New Roman Regular" w:eastAsia="宋体" w:cs="Times New Roman Regular"/>
                <w:i w:val="0"/>
                <w:color w:val="000000"/>
                <w:sz w:val="24"/>
                <w:szCs w:val="24"/>
                <w:u w:val="none"/>
                <w:lang w:val="en-US" w:eastAsia="zh-CN"/>
              </w:rPr>
              <w:t>18</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7E89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开展鼠疫疫情监测和保护性灭鼠灭蚤工作。</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EA4FCA">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旗卫生健康委员会</w:t>
            </w:r>
          </w:p>
        </w:tc>
        <w:tc>
          <w:tcPr>
            <w:tcW w:w="5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05DF3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旗卫生健康委员会：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1.对上报的信息进行调查核实处置；</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2.对病死野生动物进行检疫；</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3.开展防灭鼠技术指导；</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4.发放鼠疫防控物资。</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履职保障：1.业务指导；2.资金物资保障。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E74AB8">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1.设立哨点户；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2.发放鼠疫防控物资包；</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3.上报病死野生动物信息；</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4.配合做好灭鼠灭蚤其他工作。</w:t>
            </w:r>
          </w:p>
        </w:tc>
      </w:tr>
      <w:tr w14:paraId="7788775E">
        <w:tblPrEx>
          <w:tblCellMar>
            <w:top w:w="0" w:type="dxa"/>
            <w:left w:w="0" w:type="dxa"/>
            <w:bottom w:w="0" w:type="dxa"/>
            <w:right w:w="0" w:type="dxa"/>
          </w:tblCellMar>
        </w:tblPrEx>
        <w:trPr>
          <w:trHeight w:val="2469"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0BF815">
            <w:pPr>
              <w:keepNext w:val="0"/>
              <w:keepLines w:val="0"/>
              <w:widowControl/>
              <w:suppressLineNumbers w:val="0"/>
              <w:jc w:val="center"/>
              <w:textAlignment w:val="center"/>
              <w:rPr>
                <w:rFonts w:hint="default" w:ascii="Times New Roman Regular" w:hAnsi="Times New Roman Regular" w:eastAsia="宋体" w:cs="Times New Roman Regular"/>
                <w:i w:val="0"/>
                <w:color w:val="000000"/>
                <w:sz w:val="24"/>
                <w:szCs w:val="24"/>
                <w:u w:val="none"/>
                <w:lang w:val="en-US" w:eastAsia="zh-CN"/>
              </w:rPr>
            </w:pPr>
            <w:r>
              <w:rPr>
                <w:rFonts w:hint="eastAsia" w:ascii="Times New Roman Regular" w:hAnsi="Times New Roman Regular" w:eastAsia="宋体" w:cs="Times New Roman Regular"/>
                <w:i w:val="0"/>
                <w:color w:val="000000"/>
                <w:sz w:val="24"/>
                <w:szCs w:val="24"/>
                <w:u w:val="none"/>
                <w:lang w:val="en-US" w:eastAsia="zh-CN"/>
              </w:rPr>
              <w:t>19</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8576D1">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传染病预防监控、群防群治和其他突发公共卫生事件的应对。</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0FA293">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旗卫生健康委员会</w:t>
            </w:r>
          </w:p>
        </w:tc>
        <w:tc>
          <w:tcPr>
            <w:tcW w:w="5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D5F5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旗卫生健康委员会：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1.依据法律法规，制定传染病预防监控、公共卫生工作计划与应急预案；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2.搭建监测网络平台，收集分析数据，判定异常并发布预警；</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3.筹备医疗物资，组织专业队伍，协调各方力量；</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4.对医疗机构等进行技术指导，监督防控措施落实；</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5.开展应急知识宣传教育；</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C7B18">
            <w:pPr>
              <w:keepNext w:val="0"/>
              <w:keepLines w:val="0"/>
              <w:widowControl/>
              <w:suppressLineNumbers w:val="0"/>
              <w:jc w:val="both"/>
              <w:textAlignment w:val="center"/>
              <w:rPr>
                <w:rFonts w:hint="default" w:ascii="仿宋_GB2312" w:hAnsi="宋体" w:eastAsia="仿宋_GB2312" w:cs="仿宋_GB2312"/>
                <w:i w:val="0"/>
                <w:color w:val="000000"/>
                <w:sz w:val="24"/>
                <w:szCs w:val="24"/>
                <w:u w:val="none"/>
                <w:lang w:val="en-US"/>
              </w:rPr>
            </w:pPr>
            <w:r>
              <w:rPr>
                <w:rFonts w:hint="eastAsia" w:ascii="仿宋_GB2312" w:hAnsi="宋体" w:eastAsia="仿宋_GB2312" w:cs="仿宋_GB2312"/>
                <w:i w:val="0"/>
                <w:color w:val="000000"/>
                <w:kern w:val="0"/>
                <w:sz w:val="24"/>
                <w:szCs w:val="24"/>
                <w:u w:val="none"/>
                <w:lang w:val="en-US" w:eastAsia="zh-CN" w:bidi="ar"/>
              </w:rPr>
              <w:t>1.宣传突发公共卫生事件应急知识；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2.部署工作任务，发动群众参与；</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3.排查辖区人员健康状况，发现辖区疑似疫情，及时上报卫生健康委员会；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4.执行防控措施，如隔离、消杀、协助疫苗接种；</w:t>
            </w:r>
          </w:p>
        </w:tc>
      </w:tr>
      <w:tr w14:paraId="5DF60A2A">
        <w:tblPrEx>
          <w:tblCellMar>
            <w:top w:w="0" w:type="dxa"/>
            <w:left w:w="0" w:type="dxa"/>
            <w:bottom w:w="0" w:type="dxa"/>
            <w:right w:w="0" w:type="dxa"/>
          </w:tblCellMar>
        </w:tblPrEx>
        <w:trPr>
          <w:trHeight w:val="1775"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82795B">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000000"/>
                <w:kern w:val="2"/>
                <w:sz w:val="24"/>
                <w:szCs w:val="24"/>
                <w:u w:val="none"/>
                <w:lang w:val="en-US" w:eastAsia="zh-CN" w:bidi="ar-SA"/>
              </w:rPr>
            </w:pPr>
            <w:r>
              <w:rPr>
                <w:rFonts w:hint="eastAsia" w:ascii="Times New Roman Regular" w:hAnsi="Times New Roman Regular" w:eastAsia="Times New Roman Regular" w:cs="Times New Roman Regular"/>
                <w:i w:val="0"/>
                <w:color w:val="000000"/>
                <w:kern w:val="0"/>
                <w:sz w:val="24"/>
                <w:szCs w:val="24"/>
                <w:u w:val="none"/>
                <w:lang w:val="en-US" w:eastAsia="zh-CN" w:bidi="ar"/>
              </w:rPr>
              <w:t>19</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168B2B">
            <w:pPr>
              <w:keepNext w:val="0"/>
              <w:keepLines w:val="0"/>
              <w:widowControl/>
              <w:suppressLineNumbers w:val="0"/>
              <w:jc w:val="both"/>
              <w:textAlignment w:val="center"/>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eastAsia="仿宋_GB2312" w:cs="仿宋_GB2312"/>
                <w:i w:val="0"/>
                <w:color w:val="000000"/>
                <w:kern w:val="0"/>
                <w:sz w:val="24"/>
                <w:szCs w:val="24"/>
                <w:u w:val="none"/>
                <w:lang w:val="en-US" w:eastAsia="zh-CN" w:bidi="ar"/>
              </w:rPr>
              <w:t>传染病预防监控、群防群治和其他突发公共卫生事件的应对。</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FEBDDA">
            <w:pPr>
              <w:keepNext w:val="0"/>
              <w:keepLines w:val="0"/>
              <w:widowControl/>
              <w:suppressLineNumbers w:val="0"/>
              <w:jc w:val="center"/>
              <w:textAlignment w:val="center"/>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eastAsia="仿宋_GB2312" w:cs="仿宋_GB2312"/>
                <w:i w:val="0"/>
                <w:color w:val="000000"/>
                <w:kern w:val="0"/>
                <w:sz w:val="24"/>
                <w:szCs w:val="24"/>
                <w:u w:val="none"/>
                <w:lang w:val="en-US" w:eastAsia="zh-CN" w:bidi="ar"/>
              </w:rPr>
              <w:t>旗卫生健康委员会</w:t>
            </w:r>
          </w:p>
        </w:tc>
        <w:tc>
          <w:tcPr>
            <w:tcW w:w="5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17462C">
            <w:pPr>
              <w:keepNext w:val="0"/>
              <w:keepLines w:val="0"/>
              <w:widowControl/>
              <w:suppressLineNumbers w:val="0"/>
              <w:jc w:val="both"/>
              <w:textAlignment w:val="center"/>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eastAsia="仿宋_GB2312" w:cs="仿宋_GB2312"/>
                <w:i w:val="0"/>
                <w:color w:val="000000"/>
                <w:kern w:val="0"/>
                <w:sz w:val="24"/>
                <w:szCs w:val="24"/>
                <w:u w:val="none"/>
                <w:lang w:val="en-US" w:eastAsia="zh-CN" w:bidi="ar"/>
              </w:rPr>
              <w:t>6.评估工作效果，总结经验教训，完善工作机制；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7.承担传染病监测、预测、流行病学调查、疫情报告以及其他预防、控制工作。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履职保障：1.政策支持；2.业务培训；3.资金保障；4.专业人员保障。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B42D7">
            <w:pPr>
              <w:keepNext w:val="0"/>
              <w:keepLines w:val="0"/>
              <w:widowControl/>
              <w:suppressLineNumbers w:val="0"/>
              <w:jc w:val="both"/>
              <w:textAlignment w:val="center"/>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eastAsia="仿宋_GB2312" w:cs="仿宋_GB2312"/>
                <w:i w:val="0"/>
                <w:color w:val="000000"/>
                <w:kern w:val="0"/>
                <w:sz w:val="24"/>
                <w:szCs w:val="24"/>
                <w:u w:val="none"/>
                <w:lang w:val="en-US" w:eastAsia="zh-CN" w:bidi="ar"/>
              </w:rPr>
              <w:t>5.向上级反馈工作进展与问题，协助检查评估；</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6.积极参加上级部门组织的教育培训活动。</w:t>
            </w:r>
          </w:p>
        </w:tc>
      </w:tr>
      <w:tr w14:paraId="6208ED6B">
        <w:tblPrEx>
          <w:shd w:val="clear" w:color="auto" w:fill="auto"/>
          <w:tblCellMar>
            <w:top w:w="0" w:type="dxa"/>
            <w:left w:w="0" w:type="dxa"/>
            <w:bottom w:w="0" w:type="dxa"/>
            <w:right w:w="0" w:type="dxa"/>
          </w:tblCellMar>
        </w:tblPrEx>
        <w:trPr>
          <w:trHeight w:val="270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22E38A">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000000"/>
                <w:sz w:val="24"/>
                <w:szCs w:val="24"/>
                <w:u w:val="none"/>
                <w:lang w:val="en-US"/>
              </w:rPr>
            </w:pPr>
            <w:r>
              <w:rPr>
                <w:rFonts w:hint="default" w:ascii="Times New Roman Regular" w:hAnsi="Times New Roman Regular" w:eastAsia="Times New Roman Regular" w:cs="Times New Roman Regular"/>
                <w:i w:val="0"/>
                <w:color w:val="000000"/>
                <w:kern w:val="0"/>
                <w:sz w:val="24"/>
                <w:szCs w:val="24"/>
                <w:u w:val="none"/>
                <w:lang w:val="en-US" w:eastAsia="zh-CN" w:bidi="ar"/>
              </w:rPr>
              <w:t>2</w:t>
            </w:r>
            <w:r>
              <w:rPr>
                <w:rFonts w:hint="eastAsia" w:ascii="Times New Roman Regular" w:hAnsi="Times New Roman Regular" w:eastAsia="Times New Roman Regular" w:cs="Times New Roman Regular"/>
                <w:i w:val="0"/>
                <w:color w:val="000000"/>
                <w:kern w:val="0"/>
                <w:sz w:val="24"/>
                <w:szCs w:val="24"/>
                <w:u w:val="none"/>
                <w:lang w:val="en-US" w:eastAsia="zh-CN" w:bidi="ar"/>
              </w:rPr>
              <w:t>0</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68E5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适老化改造工作。</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64688C">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旗民政局</w:t>
            </w:r>
          </w:p>
        </w:tc>
        <w:tc>
          <w:tcPr>
            <w:tcW w:w="5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2F0599">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旗民政局：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1.宣传老年人家庭适老化改造，积极引导开展适合老年人生理特点及安全需要的设施改造和老年用品配置，满足老年人生活起居需求；</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2.审核评估实施对象申请、确定拟改造实施对象名单，开展入户需求评估，改造过程管理，组织逐户实地竣工验收等；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3.加强对工程质量的监管；</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4.严格落实适老化改造与家庭养老（照护服务）床位建设同步申报、同步筛选、同步评估、同步建设、同步验收“五同步”工作要求，确保两项工作统筹推进。</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履职保障：1.政策支持；2.业务培训；3.资金保障。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098E0D">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1.统计上报嘎查村（社区）符合条件的老年人；</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2.协助民政局和第三方入户核实情况。</w:t>
            </w:r>
          </w:p>
        </w:tc>
      </w:tr>
      <w:tr w14:paraId="1F03B604">
        <w:tblPrEx>
          <w:shd w:val="clear" w:color="auto" w:fill="auto"/>
          <w:tblCellMar>
            <w:top w:w="0" w:type="dxa"/>
            <w:left w:w="0" w:type="dxa"/>
            <w:bottom w:w="0" w:type="dxa"/>
            <w:right w:w="0" w:type="dxa"/>
          </w:tblCellMar>
        </w:tblPrEx>
        <w:trPr>
          <w:trHeight w:val="182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7CF48">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000000"/>
                <w:sz w:val="24"/>
                <w:szCs w:val="24"/>
                <w:u w:val="none"/>
                <w:lang w:val="en-US"/>
              </w:rPr>
            </w:pPr>
            <w:r>
              <w:rPr>
                <w:rFonts w:hint="default" w:ascii="Times New Roman Regular" w:hAnsi="Times New Roman Regular" w:eastAsia="Times New Roman Regular" w:cs="Times New Roman Regular"/>
                <w:i w:val="0"/>
                <w:color w:val="000000"/>
                <w:kern w:val="0"/>
                <w:sz w:val="24"/>
                <w:szCs w:val="24"/>
                <w:u w:val="none"/>
                <w:lang w:val="en-US" w:eastAsia="zh-CN" w:bidi="ar"/>
              </w:rPr>
              <w:t>2</w:t>
            </w:r>
            <w:r>
              <w:rPr>
                <w:rFonts w:hint="eastAsia" w:ascii="Times New Roman Regular" w:hAnsi="Times New Roman Regular" w:eastAsia="Times New Roman Regular" w:cs="Times New Roman Regular"/>
                <w:i w:val="0"/>
                <w:color w:val="000000"/>
                <w:kern w:val="0"/>
                <w:sz w:val="24"/>
                <w:szCs w:val="24"/>
                <w:u w:val="none"/>
                <w:lang w:val="en-US" w:eastAsia="zh-CN" w:bidi="ar"/>
              </w:rPr>
              <w:t>1</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B3E10">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低保家庭异地核查。</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8892C">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旗民政局</w:t>
            </w:r>
          </w:p>
        </w:tc>
        <w:tc>
          <w:tcPr>
            <w:tcW w:w="5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9C4061">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旗民政局：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1.联系现居住地，向居住地发函；</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2.线上核查；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3.接收回函；</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4.将结果反馈到镇。</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履职保障：1.政策支持；2.业务指导。</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CBF2B4">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1.提供低保家庭异地核查名单；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2.根据反馈结果核算收入；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3.配合民政局做好在本辖区居住的异地低保家庭核查工作。</w:t>
            </w:r>
          </w:p>
        </w:tc>
      </w:tr>
      <w:tr w14:paraId="3B040D89">
        <w:tblPrEx>
          <w:tblCellMar>
            <w:top w:w="0" w:type="dxa"/>
            <w:left w:w="0" w:type="dxa"/>
            <w:bottom w:w="0" w:type="dxa"/>
            <w:right w:w="0" w:type="dxa"/>
          </w:tblCellMar>
        </w:tblPrEx>
        <w:trPr>
          <w:trHeight w:val="15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1874F">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000000"/>
                <w:sz w:val="24"/>
                <w:szCs w:val="24"/>
                <w:u w:val="none"/>
                <w:lang w:val="en-US"/>
              </w:rPr>
            </w:pPr>
            <w:r>
              <w:rPr>
                <w:rFonts w:hint="default" w:ascii="Times New Roman Regular" w:hAnsi="Times New Roman Regular" w:eastAsia="Times New Roman Regular" w:cs="Times New Roman Regular"/>
                <w:i w:val="0"/>
                <w:color w:val="000000"/>
                <w:kern w:val="0"/>
                <w:sz w:val="24"/>
                <w:szCs w:val="24"/>
                <w:u w:val="none"/>
                <w:lang w:val="en-US" w:eastAsia="zh-CN" w:bidi="ar"/>
              </w:rPr>
              <w:t>2</w:t>
            </w:r>
            <w:r>
              <w:rPr>
                <w:rFonts w:hint="eastAsia" w:ascii="Times New Roman Regular" w:hAnsi="Times New Roman Regular" w:eastAsia="Times New Roman Regular" w:cs="Times New Roman Regular"/>
                <w:i w:val="0"/>
                <w:color w:val="000000"/>
                <w:kern w:val="0"/>
                <w:sz w:val="24"/>
                <w:szCs w:val="24"/>
                <w:u w:val="none"/>
                <w:lang w:val="en-US" w:eastAsia="zh-CN" w:bidi="ar"/>
              </w:rPr>
              <w:t>2</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84FCC2">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开展公益助残工作。</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27DC09">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旗残疾人联合会</w:t>
            </w:r>
          </w:p>
        </w:tc>
        <w:tc>
          <w:tcPr>
            <w:tcW w:w="5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418F6">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旗残疾人联合会：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1.根据地区实际，建立和完善社会各界为残疾人捐助和服务的渠道；</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2.制定相关政策鼓励和支持发展全旗残疾人慈善事业；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3.组织开展志愿者助残等公益活动。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履职保障：1.政策支持；2.业务指导。</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F5C86D">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1.配合开展志愿者助残活动；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2.配合完善社会各界为残疾人捐助和服务的渠道。</w:t>
            </w:r>
          </w:p>
        </w:tc>
      </w:tr>
      <w:tr w14:paraId="59C1F23E">
        <w:tblPrEx>
          <w:shd w:val="clear" w:color="auto" w:fill="auto"/>
          <w:tblCellMar>
            <w:top w:w="0" w:type="dxa"/>
            <w:left w:w="0" w:type="dxa"/>
            <w:bottom w:w="0" w:type="dxa"/>
            <w:right w:w="0" w:type="dxa"/>
          </w:tblCellMar>
        </w:tblPrEx>
        <w:trPr>
          <w:trHeight w:val="1331"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4776B">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000000"/>
                <w:sz w:val="24"/>
                <w:szCs w:val="24"/>
                <w:u w:val="none"/>
                <w:lang w:val="en-US"/>
              </w:rPr>
            </w:pPr>
            <w:r>
              <w:rPr>
                <w:rFonts w:hint="default" w:ascii="Times New Roman Regular" w:hAnsi="Times New Roman Regular" w:eastAsia="Times New Roman Regular" w:cs="Times New Roman Regular"/>
                <w:i w:val="0"/>
                <w:color w:val="000000"/>
                <w:kern w:val="0"/>
                <w:sz w:val="24"/>
                <w:szCs w:val="24"/>
                <w:u w:val="none"/>
                <w:lang w:val="en-US" w:eastAsia="zh-CN" w:bidi="ar"/>
              </w:rPr>
              <w:t>2</w:t>
            </w:r>
            <w:r>
              <w:rPr>
                <w:rFonts w:hint="eastAsia" w:ascii="Times New Roman Regular" w:hAnsi="Times New Roman Regular" w:eastAsia="Times New Roman Regular" w:cs="Times New Roman Regular"/>
                <w:i w:val="0"/>
                <w:color w:val="000000"/>
                <w:kern w:val="0"/>
                <w:sz w:val="24"/>
                <w:szCs w:val="24"/>
                <w:u w:val="none"/>
                <w:lang w:val="en-US" w:eastAsia="zh-CN" w:bidi="ar"/>
              </w:rPr>
              <w:t>3</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649AF7">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开展残疾人康复就业工作。</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4F67C">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旗残疾人联合会</w:t>
            </w:r>
          </w:p>
          <w:p w14:paraId="20844083">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旗人力资源和社会保障局</w:t>
            </w:r>
          </w:p>
        </w:tc>
        <w:tc>
          <w:tcPr>
            <w:tcW w:w="5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A8252B">
            <w:pPr>
              <w:keepNext w:val="0"/>
              <w:keepLines w:val="0"/>
              <w:widowControl/>
              <w:suppressLineNumbers w:val="0"/>
              <w:jc w:val="both"/>
              <w:textAlignment w:val="center"/>
              <w:rPr>
                <w:rFonts w:hint="default"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旗残疾人联合会：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1.申请残疾人精准康复服务项目等政策支持；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2.联合公益组织、企业捐赠康复设备，或引入专业康复团队驻点服务；</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3.推动企业按比例雇佣残疾人，开发公益性岗位。</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旗人力资源和社会保障局：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1.对接本地企业需求，开展定向技能培训，支持残疾人自主创业，组织手工制作、来料加工等居家就业项目，解决行动不便者就业问题；</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2.监督企业落实同工同酬，协调处理劳动纠纷，确保残疾人合法权益。</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履职保障：1.政策支持；2.业务指导。</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EEDD83">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1.收集残疾人基本信息；</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2.分析研判就业方向；</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3.组织残疾人参加职业技能培训。</w:t>
            </w:r>
          </w:p>
        </w:tc>
      </w:tr>
      <w:tr w14:paraId="5FD00DB4">
        <w:tblPrEx>
          <w:shd w:val="clear" w:color="auto" w:fill="auto"/>
          <w:tblCellMar>
            <w:top w:w="0" w:type="dxa"/>
            <w:left w:w="0" w:type="dxa"/>
            <w:bottom w:w="0" w:type="dxa"/>
            <w:right w:w="0" w:type="dxa"/>
          </w:tblCellMar>
        </w:tblPrEx>
        <w:trPr>
          <w:trHeight w:val="130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9A97D6">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000000"/>
                <w:sz w:val="24"/>
                <w:szCs w:val="24"/>
                <w:u w:val="none"/>
                <w:lang w:val="en-US"/>
              </w:rPr>
            </w:pPr>
            <w:r>
              <w:rPr>
                <w:rFonts w:hint="default" w:ascii="Times New Roman Regular" w:hAnsi="Times New Roman Regular" w:eastAsia="Times New Roman Regular" w:cs="Times New Roman Regular"/>
                <w:i w:val="0"/>
                <w:color w:val="000000"/>
                <w:kern w:val="0"/>
                <w:sz w:val="24"/>
                <w:szCs w:val="24"/>
                <w:u w:val="none"/>
                <w:lang w:val="en-US" w:eastAsia="zh-CN" w:bidi="ar"/>
              </w:rPr>
              <w:t>2</w:t>
            </w:r>
            <w:r>
              <w:rPr>
                <w:rFonts w:hint="eastAsia" w:ascii="Times New Roman Regular" w:hAnsi="Times New Roman Regular" w:eastAsia="Times New Roman Regular" w:cs="Times New Roman Regular"/>
                <w:i w:val="0"/>
                <w:color w:val="000000"/>
                <w:kern w:val="0"/>
                <w:sz w:val="24"/>
                <w:szCs w:val="24"/>
                <w:u w:val="none"/>
                <w:lang w:val="en-US" w:eastAsia="zh-CN" w:bidi="ar"/>
              </w:rPr>
              <w:t>4</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F46EDC">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做好辖区内零散烈士纪念设施的巡查保护工作。</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4EE0A">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旗退役军人事务局</w:t>
            </w:r>
          </w:p>
        </w:tc>
        <w:tc>
          <w:tcPr>
            <w:tcW w:w="5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AF46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旗退役军人事务局：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1.定期对辖区内烈士陵园，烈士纪念碑等零散烈士纪念设施进行巡查；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2.对镇上报和本级巡查发现的破损情况进行修缮维护。</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履职保障：1.业务培训；2.资金保障。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F01B81">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1.对辖区内烈士陵园，烈士纪念碑等零散烈士纪念设施开展巡查工作；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2.对巡查发现的破损情况上报退役军人事务局。</w:t>
            </w:r>
          </w:p>
        </w:tc>
      </w:tr>
      <w:tr w14:paraId="29E26249">
        <w:tblPrEx>
          <w:tblCellMar>
            <w:top w:w="0" w:type="dxa"/>
            <w:left w:w="0" w:type="dxa"/>
            <w:bottom w:w="0" w:type="dxa"/>
            <w:right w:w="0" w:type="dxa"/>
          </w:tblCellMar>
        </w:tblPrEx>
        <w:trPr>
          <w:trHeight w:val="170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4AEA64">
            <w:pPr>
              <w:keepNext w:val="0"/>
              <w:keepLines w:val="0"/>
              <w:widowControl/>
              <w:suppressLineNumbers w:val="0"/>
              <w:jc w:val="center"/>
              <w:textAlignment w:val="center"/>
              <w:rPr>
                <w:rFonts w:hint="default" w:ascii="Times New Roman Regular" w:hAnsi="Times New Roman Regular" w:eastAsia="宋体" w:cs="Times New Roman Regular"/>
                <w:i w:val="0"/>
                <w:color w:val="000000"/>
                <w:sz w:val="24"/>
                <w:szCs w:val="24"/>
                <w:u w:val="none"/>
                <w:lang w:val="en-US" w:eastAsia="zh-CN"/>
              </w:rPr>
            </w:pPr>
            <w:r>
              <w:rPr>
                <w:rFonts w:hint="eastAsia" w:ascii="Times New Roman Regular" w:hAnsi="Times New Roman Regular" w:eastAsia="宋体" w:cs="Times New Roman Regular"/>
                <w:i w:val="0"/>
                <w:color w:val="000000"/>
                <w:sz w:val="24"/>
                <w:szCs w:val="24"/>
                <w:u w:val="none"/>
                <w:lang w:val="en-US" w:eastAsia="zh-CN"/>
              </w:rPr>
              <w:t>25</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E2421B">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引导辖区内参与社会工作者考试人员的报名及考前培训。</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5FA50">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旗委社工部</w:t>
            </w:r>
          </w:p>
        </w:tc>
        <w:tc>
          <w:tcPr>
            <w:tcW w:w="5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73A03C">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旗委社工部：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1.宣传社会工作未来就业前景；</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2.组织考试培训；</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3.统计报考人员基础信息台账。</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履职保障：1.政策保障；2.业务培训。</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DE651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1.引导辖区人员报考社会工作者职业水平考试；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2.配合社工部组织报考人员参加考前培训；</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3.统计上报报考人员基础信息台账。</w:t>
            </w:r>
          </w:p>
        </w:tc>
      </w:tr>
      <w:tr w14:paraId="24B814D6">
        <w:tblPrEx>
          <w:tblCellMar>
            <w:top w:w="0" w:type="dxa"/>
            <w:left w:w="0" w:type="dxa"/>
            <w:bottom w:w="0" w:type="dxa"/>
            <w:right w:w="0" w:type="dxa"/>
          </w:tblCellMar>
        </w:tblPrEx>
        <w:trPr>
          <w:trHeight w:val="154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517F1">
            <w:pPr>
              <w:keepNext w:val="0"/>
              <w:keepLines w:val="0"/>
              <w:widowControl/>
              <w:suppressLineNumbers w:val="0"/>
              <w:jc w:val="center"/>
              <w:textAlignment w:val="center"/>
              <w:rPr>
                <w:rFonts w:hint="default" w:ascii="Times New Roman Regular" w:hAnsi="Times New Roman Regular" w:eastAsia="宋体" w:cs="Times New Roman Regular"/>
                <w:i w:val="0"/>
                <w:color w:val="000000"/>
                <w:sz w:val="24"/>
                <w:szCs w:val="24"/>
                <w:u w:val="none"/>
                <w:lang w:val="en-US" w:eastAsia="zh-CN"/>
              </w:rPr>
            </w:pPr>
            <w:r>
              <w:rPr>
                <w:rFonts w:hint="eastAsia" w:ascii="Times New Roman Regular" w:hAnsi="Times New Roman Regular" w:eastAsia="宋体" w:cs="Times New Roman Regular"/>
                <w:i w:val="0"/>
                <w:color w:val="000000"/>
                <w:sz w:val="24"/>
                <w:szCs w:val="24"/>
                <w:u w:val="none"/>
                <w:lang w:val="en-US" w:eastAsia="zh-CN"/>
              </w:rPr>
              <w:t>26</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1F4E20">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违建墓地、散埋乱葬整治。</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CD3D48">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旗民政局</w:t>
            </w:r>
          </w:p>
        </w:tc>
        <w:tc>
          <w:tcPr>
            <w:tcW w:w="5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934CF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旗民政局：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1.负责汇总统计各镇违建墓地情况；</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2.调查核实并发出整治通知；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3.由民政局牵头，会同旗自然资源局、林业和草原局开展整治工作。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履职保障：1.业务指导；2.资金保障。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2C29F2">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1.积极宣传引导，对于新增逝者，积极引导其家属将其安葬在公益性墓地，尽量避免违建发生；已有违建墓地、散埋乱葬的引导迁移至公墓；</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2.排查汇总上报本辖区内违建墓地、散埋乱葬情况。</w:t>
            </w:r>
          </w:p>
        </w:tc>
      </w:tr>
      <w:tr w14:paraId="2D35205C">
        <w:tblPrEx>
          <w:tblCellMar>
            <w:top w:w="0" w:type="dxa"/>
            <w:left w:w="0" w:type="dxa"/>
            <w:bottom w:w="0" w:type="dxa"/>
            <w:right w:w="0" w:type="dxa"/>
          </w:tblCellMar>
        </w:tblPrEx>
        <w:trPr>
          <w:trHeight w:val="600" w:hRule="atLeast"/>
        </w:trPr>
        <w:tc>
          <w:tcPr>
            <w:tcW w:w="1541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F71A73">
            <w:pPr>
              <w:keepNext w:val="0"/>
              <w:keepLines w:val="0"/>
              <w:widowControl/>
              <w:suppressLineNumbers w:val="0"/>
              <w:jc w:val="left"/>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四、平安法治（</w:t>
            </w:r>
            <w:r>
              <w:rPr>
                <w:rFonts w:hint="default" w:ascii="黑体" w:hAnsi="宋体" w:eastAsia="黑体" w:cs="黑体"/>
                <w:i w:val="0"/>
                <w:color w:val="000000"/>
                <w:kern w:val="0"/>
                <w:sz w:val="28"/>
                <w:szCs w:val="28"/>
                <w:u w:val="none"/>
                <w:lang w:val="en-US" w:eastAsia="zh-CN" w:bidi="ar"/>
              </w:rPr>
              <w:t>2</w:t>
            </w:r>
            <w:r>
              <w:rPr>
                <w:rFonts w:hint="eastAsia" w:ascii="黑体" w:hAnsi="宋体" w:eastAsia="黑体" w:cs="黑体"/>
                <w:i w:val="0"/>
                <w:color w:val="000000"/>
                <w:kern w:val="0"/>
                <w:sz w:val="28"/>
                <w:szCs w:val="28"/>
                <w:u w:val="none"/>
                <w:lang w:val="en-US" w:eastAsia="zh-CN" w:bidi="ar"/>
              </w:rPr>
              <w:t>2项）</w:t>
            </w:r>
          </w:p>
        </w:tc>
      </w:tr>
      <w:tr w14:paraId="533AB11C">
        <w:tblPrEx>
          <w:shd w:val="clear" w:color="auto" w:fill="auto"/>
          <w:tblCellMar>
            <w:top w:w="0" w:type="dxa"/>
            <w:left w:w="0" w:type="dxa"/>
            <w:bottom w:w="0" w:type="dxa"/>
            <w:right w:w="0" w:type="dxa"/>
          </w:tblCellMar>
        </w:tblPrEx>
        <w:trPr>
          <w:trHeight w:val="655"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68B38A">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000000"/>
                <w:sz w:val="24"/>
                <w:szCs w:val="24"/>
                <w:u w:val="none"/>
                <w:lang w:val="en-US"/>
              </w:rPr>
            </w:pPr>
            <w:r>
              <w:rPr>
                <w:rFonts w:hint="eastAsia" w:ascii="Times New Roman Regular" w:hAnsi="Times New Roman Regular" w:eastAsia="Times New Roman Regular" w:cs="Times New Roman Regular"/>
                <w:i w:val="0"/>
                <w:color w:val="000000"/>
                <w:kern w:val="0"/>
                <w:sz w:val="24"/>
                <w:szCs w:val="24"/>
                <w:u w:val="none"/>
                <w:lang w:val="en-US" w:eastAsia="zh-CN" w:bidi="ar"/>
              </w:rPr>
              <w:t>27</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8CF47">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培育“法律明白人”“法治带头人”“法治副村长”。</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08C53">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旗司法局</w:t>
            </w:r>
          </w:p>
        </w:tc>
        <w:tc>
          <w:tcPr>
            <w:tcW w:w="5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245335">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旗司法局：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1.对“法律明白人”“法治带头人”“法治副村长”进行任前培训，结合拟承担的主要职责，开展法律知识、法治实践能力等方面的培训，并组织上岗考核；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2.经考核合格的，正式确定为“法律明白人”“法治带头人”“法治副村长”，颁发证书和徽章，并登记造册、建档立卡。</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履职保障：1.业务指导；2.业务培训。</w:t>
            </w:r>
            <w:r>
              <w:rPr>
                <w:rFonts w:hint="eastAsia" w:ascii="仿宋_GB2312" w:hAnsi="宋体" w:eastAsia="仿宋_GB2312" w:cs="仿宋_GB2312"/>
                <w:i w:val="0"/>
                <w:color w:val="000000"/>
                <w:kern w:val="0"/>
                <w:sz w:val="24"/>
                <w:szCs w:val="24"/>
                <w:u w:val="none"/>
                <w:lang w:val="en-US" w:eastAsia="zh-CN" w:bidi="ar"/>
              </w:rPr>
              <w:tab/>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55A7F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1.指导各嘎查村村民自荐或村“两委”推荐，拟任“法律明白人”“法治带头人”“法治副村长”；</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2.对经司法局审核合格的“法律明白人”“法治带头人”“法治副村长”进行公示。</w:t>
            </w:r>
          </w:p>
        </w:tc>
      </w:tr>
      <w:tr w14:paraId="0994535C">
        <w:tblPrEx>
          <w:shd w:val="clear" w:color="auto" w:fill="auto"/>
          <w:tblCellMar>
            <w:top w:w="0" w:type="dxa"/>
            <w:left w:w="0" w:type="dxa"/>
            <w:bottom w:w="0" w:type="dxa"/>
            <w:right w:w="0" w:type="dxa"/>
          </w:tblCellMar>
        </w:tblPrEx>
        <w:trPr>
          <w:trHeight w:val="152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4B8C5">
            <w:pPr>
              <w:keepNext w:val="0"/>
              <w:keepLines w:val="0"/>
              <w:widowControl/>
              <w:suppressLineNumbers w:val="0"/>
              <w:jc w:val="center"/>
              <w:textAlignment w:val="center"/>
              <w:rPr>
                <w:rFonts w:hint="default" w:ascii="Times New Roman Regular" w:hAnsi="Times New Roman Regular" w:eastAsia="宋体" w:cs="Times New Roman Regular"/>
                <w:i w:val="0"/>
                <w:color w:val="000000"/>
                <w:sz w:val="24"/>
                <w:szCs w:val="24"/>
                <w:u w:val="none"/>
                <w:lang w:val="en-US" w:eastAsia="zh-CN"/>
              </w:rPr>
            </w:pPr>
            <w:r>
              <w:rPr>
                <w:rFonts w:hint="eastAsia" w:ascii="Times New Roman Regular" w:hAnsi="Times New Roman Regular" w:eastAsia="宋体" w:cs="Times New Roman Regular"/>
                <w:i w:val="0"/>
                <w:color w:val="000000"/>
                <w:sz w:val="24"/>
                <w:szCs w:val="24"/>
                <w:u w:val="none"/>
                <w:lang w:val="en-US" w:eastAsia="zh-CN"/>
              </w:rPr>
              <w:t>28</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76269B">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常态化推进扫黑除恶</w:t>
            </w:r>
            <w:bookmarkStart w:id="0" w:name="_GoBack"/>
            <w:bookmarkEnd w:id="0"/>
            <w:r>
              <w:rPr>
                <w:rFonts w:hint="eastAsia" w:ascii="仿宋_GB2312" w:hAnsi="宋体" w:eastAsia="仿宋_GB2312" w:cs="仿宋_GB2312"/>
                <w:i w:val="0"/>
                <w:color w:val="000000"/>
                <w:kern w:val="0"/>
                <w:sz w:val="24"/>
                <w:szCs w:val="24"/>
                <w:u w:val="none"/>
                <w:lang w:val="en-US" w:eastAsia="zh-CN" w:bidi="ar"/>
              </w:rPr>
              <w:t>。</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318B1">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旗委政法委</w:t>
            </w:r>
          </w:p>
        </w:tc>
        <w:tc>
          <w:tcPr>
            <w:tcW w:w="5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5050C5">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旗委政法委：</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1.抓好有组织犯罪预防和治理工作；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2.全面摸排黑恶势力线索，核查办理上级部门转办的线索；</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3.组织各相关部门铲除黑恶势力。</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履职保障：业务指导。</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F5FD0B">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对照工作任务，开展政策法规宣传、线索摸排收集上报等工作。</w:t>
            </w:r>
          </w:p>
        </w:tc>
      </w:tr>
      <w:tr w14:paraId="61FEC387">
        <w:tblPrEx>
          <w:shd w:val="clear" w:color="auto" w:fill="auto"/>
          <w:tblCellMar>
            <w:top w:w="0" w:type="dxa"/>
            <w:left w:w="0" w:type="dxa"/>
            <w:bottom w:w="0" w:type="dxa"/>
            <w:right w:w="0" w:type="dxa"/>
          </w:tblCellMar>
        </w:tblPrEx>
        <w:trPr>
          <w:trHeight w:val="214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B39A59">
            <w:pPr>
              <w:keepNext w:val="0"/>
              <w:keepLines w:val="0"/>
              <w:widowControl/>
              <w:suppressLineNumbers w:val="0"/>
              <w:jc w:val="center"/>
              <w:textAlignment w:val="center"/>
              <w:rPr>
                <w:rFonts w:hint="default" w:ascii="Times New Roman Regular" w:hAnsi="Times New Roman Regular" w:eastAsia="宋体" w:cs="Times New Roman Regular"/>
                <w:i w:val="0"/>
                <w:color w:val="000000"/>
                <w:sz w:val="24"/>
                <w:szCs w:val="24"/>
                <w:u w:val="none"/>
                <w:lang w:val="en-US" w:eastAsia="zh-CN"/>
              </w:rPr>
            </w:pPr>
            <w:r>
              <w:rPr>
                <w:rFonts w:hint="eastAsia" w:ascii="Times New Roman Regular" w:hAnsi="Times New Roman Regular" w:eastAsia="宋体" w:cs="Times New Roman Regular"/>
                <w:i w:val="0"/>
                <w:color w:val="000000"/>
                <w:sz w:val="24"/>
                <w:szCs w:val="24"/>
                <w:u w:val="none"/>
                <w:lang w:val="en-US" w:eastAsia="zh-CN"/>
              </w:rPr>
              <w:t>29</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2BC6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推进“雪亮工程”项目建设。</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83F297">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旗公安局</w:t>
            </w:r>
          </w:p>
        </w:tc>
        <w:tc>
          <w:tcPr>
            <w:tcW w:w="5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BB7EF5">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旗公安局：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1.建设覆盖辖区的社会治安视频监控系统，对社会治安状况实时录像和过程重现，图像记录和储存；</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2.将视频监控与巡逻防控、应急处置有机结合，以聚居点为监控中心，重点道路卡口为网络，及时发现、制止和预防违法犯罪行为，增强社会治安防控能力；</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3.科学布点，最大限度地提高监控覆盖面，切实减少盲区和死角。</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履职保障：资金保障。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39118">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1.做好“雪亮工程”项目宣传，提高群众知晓度；</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2.提供本地的人口分布、治安状况等信息，协助规划摄像头位置；</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3.协调解决可能出现的矛盾纠纷。</w:t>
            </w:r>
          </w:p>
        </w:tc>
      </w:tr>
      <w:tr w14:paraId="22D62D63">
        <w:tblPrEx>
          <w:shd w:val="clear" w:color="auto" w:fill="auto"/>
          <w:tblCellMar>
            <w:top w:w="0" w:type="dxa"/>
            <w:left w:w="0" w:type="dxa"/>
            <w:bottom w:w="0" w:type="dxa"/>
            <w:right w:w="0" w:type="dxa"/>
          </w:tblCellMar>
        </w:tblPrEx>
        <w:trPr>
          <w:trHeight w:val="182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D99498">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000000"/>
                <w:sz w:val="24"/>
                <w:szCs w:val="24"/>
                <w:u w:val="none"/>
                <w:lang w:val="en-US"/>
              </w:rPr>
            </w:pPr>
            <w:r>
              <w:rPr>
                <w:rFonts w:hint="default" w:ascii="Times New Roman Regular" w:hAnsi="Times New Roman Regular" w:eastAsia="Times New Roman Regular" w:cs="Times New Roman Regular"/>
                <w:i w:val="0"/>
                <w:color w:val="000000"/>
                <w:kern w:val="0"/>
                <w:sz w:val="24"/>
                <w:szCs w:val="24"/>
                <w:u w:val="none"/>
                <w:lang w:val="en-US" w:eastAsia="zh-CN" w:bidi="ar"/>
              </w:rPr>
              <w:t>3</w:t>
            </w:r>
            <w:r>
              <w:rPr>
                <w:rFonts w:hint="eastAsia" w:ascii="Times New Roman Regular" w:hAnsi="Times New Roman Regular" w:eastAsia="Times New Roman Regular" w:cs="Times New Roman Regular"/>
                <w:i w:val="0"/>
                <w:color w:val="000000"/>
                <w:kern w:val="0"/>
                <w:sz w:val="24"/>
                <w:szCs w:val="24"/>
                <w:u w:val="none"/>
                <w:lang w:val="en-US" w:eastAsia="zh-CN" w:bidi="ar"/>
              </w:rPr>
              <w:t>0</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E9C6D">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禁种铲毒。</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B6BD7">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旗公安局</w:t>
            </w:r>
          </w:p>
        </w:tc>
        <w:tc>
          <w:tcPr>
            <w:tcW w:w="5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A8403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旗公安局：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1.组织培训学习，提高民众辨别毒品种植物能力；</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2.查处违法行为；</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3.对上报情况进行核实，对涉毒违法犯罪活动进行立案侦查，抓捕嫌疑人，铲除毒品原植物。</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履职保障：1.资金保障；2.业务指导。</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882E0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1.开展禁毒宣传活动；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2.组织人员落实毒品原植物踏查，对非法种植毒品原植物进行摸排上报；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3.发现疑似毒品种植物及时上报公安部门。</w:t>
            </w:r>
          </w:p>
        </w:tc>
      </w:tr>
      <w:tr w14:paraId="206D4E13">
        <w:tblPrEx>
          <w:tblCellMar>
            <w:top w:w="0" w:type="dxa"/>
            <w:left w:w="0" w:type="dxa"/>
            <w:bottom w:w="0" w:type="dxa"/>
            <w:right w:w="0" w:type="dxa"/>
          </w:tblCellMar>
        </w:tblPrEx>
        <w:trPr>
          <w:trHeight w:val="2542"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48C647">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000000"/>
                <w:sz w:val="24"/>
                <w:szCs w:val="24"/>
                <w:u w:val="none"/>
                <w:lang w:val="en-US"/>
              </w:rPr>
            </w:pPr>
            <w:r>
              <w:rPr>
                <w:rFonts w:hint="default" w:ascii="Times New Roman Regular" w:hAnsi="Times New Roman Regular" w:eastAsia="Times New Roman Regular" w:cs="Times New Roman Regular"/>
                <w:i w:val="0"/>
                <w:color w:val="000000"/>
                <w:kern w:val="0"/>
                <w:sz w:val="24"/>
                <w:szCs w:val="24"/>
                <w:u w:val="none"/>
                <w:lang w:val="en-US" w:eastAsia="zh-CN" w:bidi="ar"/>
              </w:rPr>
              <w:t>3</w:t>
            </w:r>
            <w:r>
              <w:rPr>
                <w:rFonts w:hint="eastAsia" w:ascii="Times New Roman Regular" w:hAnsi="Times New Roman Regular" w:eastAsia="Times New Roman Regular" w:cs="Times New Roman Regular"/>
                <w:i w:val="0"/>
                <w:color w:val="000000"/>
                <w:kern w:val="0"/>
                <w:sz w:val="24"/>
                <w:szCs w:val="24"/>
                <w:u w:val="none"/>
                <w:lang w:val="en-US" w:eastAsia="zh-CN" w:bidi="ar"/>
              </w:rPr>
              <w:t>1</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A2B9E">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流动人口管理服务。</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D154EB">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旗公安局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旗教育体育局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旗民政局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旗人力资源和社会保障局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旗卫生健康委员会</w:t>
            </w:r>
          </w:p>
        </w:tc>
        <w:tc>
          <w:tcPr>
            <w:tcW w:w="5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8E1D85">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旗公安局：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1.负责流动人口居住登记、居住证办理；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2.开展流动人口信息采集、治安隐患排查。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旗教育体育局：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统筹流动人口随迁子女义务教育入学，推动公办学校吸纳符合条件的随迁子女。</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城市规划区内国有土地上的商品房屋租赁和保障性住房使用的监督管理。</w:t>
            </w:r>
          </w:p>
          <w:p w14:paraId="32D67C16">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旗民政局：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对符合条件的流动人口提供临时救助，引导社会组织参与流动人口服务。</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旗人力资源和社会保障局：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提供职业介绍、技能培训，监督劳动合同、工资支付等。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旗卫生健康委员会：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提供基本公共卫生服务。</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履职保障：1.政策支持；2.业务培训。</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E43F4">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1.常态化协助开展流动人口信息采集工作；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2.组织开展户口管理相关的法律法规和政策规定的宣传教育；</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3.指导嘎查村村民委员会、社区居民委员会做好流动人口管理服务工作。</w:t>
            </w:r>
          </w:p>
        </w:tc>
      </w:tr>
      <w:tr w14:paraId="5482C705">
        <w:tblPrEx>
          <w:shd w:val="clear" w:color="auto" w:fill="auto"/>
          <w:tblCellMar>
            <w:top w:w="0" w:type="dxa"/>
            <w:left w:w="0" w:type="dxa"/>
            <w:bottom w:w="0" w:type="dxa"/>
            <w:right w:w="0" w:type="dxa"/>
          </w:tblCellMar>
        </w:tblPrEx>
        <w:trPr>
          <w:trHeight w:val="262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16C09D">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000000"/>
                <w:sz w:val="24"/>
                <w:szCs w:val="24"/>
                <w:u w:val="none"/>
                <w:lang w:val="en-US"/>
              </w:rPr>
            </w:pPr>
            <w:r>
              <w:rPr>
                <w:rFonts w:hint="default" w:ascii="Times New Roman Regular" w:hAnsi="Times New Roman Regular" w:eastAsia="Times New Roman Regular" w:cs="Times New Roman Regular"/>
                <w:i w:val="0"/>
                <w:color w:val="000000"/>
                <w:kern w:val="0"/>
                <w:sz w:val="24"/>
                <w:szCs w:val="24"/>
                <w:u w:val="none"/>
                <w:lang w:val="en-US" w:eastAsia="zh-CN" w:bidi="ar"/>
              </w:rPr>
              <w:t>3</w:t>
            </w:r>
            <w:r>
              <w:rPr>
                <w:rFonts w:hint="eastAsia" w:ascii="Times New Roman Regular" w:hAnsi="Times New Roman Regular" w:eastAsia="Times New Roman Regular" w:cs="Times New Roman Regular"/>
                <w:i w:val="0"/>
                <w:color w:val="000000"/>
                <w:kern w:val="0"/>
                <w:sz w:val="24"/>
                <w:szCs w:val="24"/>
                <w:u w:val="none"/>
                <w:lang w:val="en-US" w:eastAsia="zh-CN" w:bidi="ar"/>
              </w:rPr>
              <w:t>2</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83F001">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社区戒毒、社区康复工作。</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20B51B">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旗公安局</w:t>
            </w:r>
          </w:p>
        </w:tc>
        <w:tc>
          <w:tcPr>
            <w:tcW w:w="5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66502">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旗公安局：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1.对吸毒人员进行登记，责令吸毒成瘾人员接受社区戒毒；</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2.出具责令社区戒毒决定书，送达本人及其家属，并通知本人户籍所在地或者现居住地镇人民政府；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3.对涉嫌吸毒的人员进行必要的检测，对拒绝接受检测的，可以强制检测；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4.责令解除强制隔离戒毒的人员，接受不超过3年的社区康复；</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5.出具解除社区康复通知书送达社区康复人员本人及其家属，并在7日内通知社区康复执行地镇人民政府。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履职保障：业务指导。</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F5836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1.社区戒毒人员报到后，指导社区与其签订社区戒毒协议；</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2.制定社区戒毒工作计划，督促、指导各相关人员按照社区戒毒协议落实社区戒毒措施；</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3.在社区康复人员报到后及时指导社区与其签订社区康复协议；</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4.确定负责社区康复的工作机构，指导其提供服务。</w:t>
            </w:r>
          </w:p>
        </w:tc>
      </w:tr>
      <w:tr w14:paraId="214DAEDE">
        <w:tblPrEx>
          <w:tblCellMar>
            <w:top w:w="0" w:type="dxa"/>
            <w:left w:w="0" w:type="dxa"/>
            <w:bottom w:w="0" w:type="dxa"/>
            <w:right w:w="0" w:type="dxa"/>
          </w:tblCellMar>
        </w:tblPrEx>
        <w:trPr>
          <w:trHeight w:val="164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B9B92">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000000"/>
                <w:sz w:val="24"/>
                <w:szCs w:val="24"/>
                <w:u w:val="none"/>
                <w:lang w:val="en-US"/>
              </w:rPr>
            </w:pPr>
            <w:r>
              <w:rPr>
                <w:rFonts w:hint="default" w:ascii="Times New Roman Regular" w:hAnsi="Times New Roman Regular" w:eastAsia="Times New Roman Regular" w:cs="Times New Roman Regular"/>
                <w:i w:val="0"/>
                <w:color w:val="000000"/>
                <w:kern w:val="0"/>
                <w:sz w:val="24"/>
                <w:szCs w:val="24"/>
                <w:u w:val="none"/>
                <w:lang w:val="en-US" w:eastAsia="zh-CN" w:bidi="ar"/>
              </w:rPr>
              <w:t>3</w:t>
            </w:r>
            <w:r>
              <w:rPr>
                <w:rFonts w:hint="eastAsia" w:ascii="Times New Roman Regular" w:hAnsi="Times New Roman Regular" w:eastAsia="Times New Roman Regular" w:cs="Times New Roman Regular"/>
                <w:i w:val="0"/>
                <w:color w:val="000000"/>
                <w:kern w:val="0"/>
                <w:sz w:val="24"/>
                <w:szCs w:val="24"/>
                <w:u w:val="none"/>
                <w:lang w:val="en-US" w:eastAsia="zh-CN" w:bidi="ar"/>
              </w:rPr>
              <w:t>3</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718E73">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社区矫正工作。</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A47764">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旗司法局</w:t>
            </w:r>
          </w:p>
        </w:tc>
        <w:tc>
          <w:tcPr>
            <w:tcW w:w="5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CD538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旗司法局：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1.开展适用社区矫正的调查评估；</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2.办理接收和解除社区矫正手续，针对镇上报线索进行核查；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3.组织和实施对社区矫正对象的监督管理、教育帮扶、奖惩考核等事项。</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履职保障：业务指导。</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4316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1.开展社区矫正宣传工作；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2.对社区矫正人员进行动态摸排、线索上报；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3.协助调查评估拟适用社区矫正的人员，提供信息和意见；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4.定期上门走访，协助开展社区矫正对象的教育疏导帮扶工作。</w:t>
            </w:r>
          </w:p>
        </w:tc>
      </w:tr>
      <w:tr w14:paraId="6E9C5B03">
        <w:tblPrEx>
          <w:tblCellMar>
            <w:top w:w="0" w:type="dxa"/>
            <w:left w:w="0" w:type="dxa"/>
            <w:bottom w:w="0" w:type="dxa"/>
            <w:right w:w="0" w:type="dxa"/>
          </w:tblCellMar>
        </w:tblPrEx>
        <w:trPr>
          <w:trHeight w:val="162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FE9FBA">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000000"/>
                <w:sz w:val="24"/>
                <w:szCs w:val="24"/>
                <w:u w:val="none"/>
                <w:lang w:val="en-US"/>
              </w:rPr>
            </w:pPr>
            <w:r>
              <w:rPr>
                <w:rFonts w:hint="default" w:ascii="Times New Roman Regular" w:hAnsi="Times New Roman Regular" w:eastAsia="Times New Roman Regular" w:cs="Times New Roman Regular"/>
                <w:i w:val="0"/>
                <w:color w:val="000000"/>
                <w:kern w:val="0"/>
                <w:sz w:val="24"/>
                <w:szCs w:val="24"/>
                <w:u w:val="none"/>
                <w:lang w:val="en-US" w:eastAsia="zh-CN" w:bidi="ar"/>
              </w:rPr>
              <w:t>3</w:t>
            </w:r>
            <w:r>
              <w:rPr>
                <w:rFonts w:hint="eastAsia" w:ascii="Times New Roman Regular" w:hAnsi="Times New Roman Regular" w:eastAsia="Times New Roman Regular" w:cs="Times New Roman Regular"/>
                <w:i w:val="0"/>
                <w:color w:val="000000"/>
                <w:kern w:val="0"/>
                <w:sz w:val="24"/>
                <w:szCs w:val="24"/>
                <w:u w:val="none"/>
                <w:lang w:val="en-US" w:eastAsia="zh-CN" w:bidi="ar"/>
              </w:rPr>
              <w:t>4</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651E2">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刑满释放人员的安置帮教工作。</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667E81">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旗司法局</w:t>
            </w:r>
          </w:p>
        </w:tc>
        <w:tc>
          <w:tcPr>
            <w:tcW w:w="5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EDCF1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旗司法局：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1.接受和登记刑满释放人员；</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2.对安置帮教对象进行风险评估；</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3.做好救助对象的法治宣传和思想教育工作。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履职保障：1.政策支持；2.业务指导。</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6C702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1.定期走访、回访掌握安置帮教对象的信息；</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2.协调民政部门为无家可归或困难对象提供临时住所；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3.协调民政、人社等部门落实低保、临时救助、医疗保障等政策，解决生活困难。</w:t>
            </w:r>
          </w:p>
        </w:tc>
      </w:tr>
      <w:tr w14:paraId="1C4804FA">
        <w:tblPrEx>
          <w:shd w:val="clear" w:color="auto" w:fill="auto"/>
          <w:tblCellMar>
            <w:top w:w="0" w:type="dxa"/>
            <w:left w:w="0" w:type="dxa"/>
            <w:bottom w:w="0" w:type="dxa"/>
            <w:right w:w="0" w:type="dxa"/>
          </w:tblCellMar>
        </w:tblPrEx>
        <w:trPr>
          <w:trHeight w:val="132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C72248">
            <w:pPr>
              <w:keepNext w:val="0"/>
              <w:keepLines w:val="0"/>
              <w:widowControl/>
              <w:suppressLineNumbers w:val="0"/>
              <w:jc w:val="center"/>
              <w:textAlignment w:val="center"/>
              <w:rPr>
                <w:rFonts w:hint="default" w:ascii="Times New Roman Regular" w:hAnsi="Times New Roman Regular" w:eastAsia="宋体" w:cs="Times New Roman Regular"/>
                <w:i w:val="0"/>
                <w:color w:val="000000"/>
                <w:sz w:val="24"/>
                <w:szCs w:val="24"/>
                <w:u w:val="none"/>
                <w:lang w:val="en-US" w:eastAsia="zh-CN"/>
              </w:rPr>
            </w:pPr>
            <w:r>
              <w:rPr>
                <w:rFonts w:hint="eastAsia" w:ascii="Times New Roman Regular" w:hAnsi="Times New Roman Regular" w:eastAsia="宋体" w:cs="Times New Roman Regular"/>
                <w:i w:val="0"/>
                <w:color w:val="000000"/>
                <w:sz w:val="24"/>
                <w:szCs w:val="24"/>
                <w:u w:val="none"/>
                <w:lang w:val="en-US" w:eastAsia="zh-CN"/>
              </w:rPr>
              <w:t>35</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5802B">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事发地、现居住地不属于本辖区的“三跨三分离”信访人员的稳控。</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2344DD">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旗信访局</w:t>
            </w:r>
          </w:p>
        </w:tc>
        <w:tc>
          <w:tcPr>
            <w:tcW w:w="5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007E6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旗信访局：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1.因信访事项引发的信访人困难帮扶；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2.协调常住地和户籍地事权部门（单位），做好沟通工作。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履职保障：业务指导。</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BDAF1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1.配合做好信访人思想疏导和释法明理；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2.配合事发地做好信访人困难帮扶工作。</w:t>
            </w:r>
          </w:p>
        </w:tc>
      </w:tr>
      <w:tr w14:paraId="4CBFDEA5">
        <w:tblPrEx>
          <w:shd w:val="clear" w:color="auto" w:fill="auto"/>
          <w:tblCellMar>
            <w:top w:w="0" w:type="dxa"/>
            <w:left w:w="0" w:type="dxa"/>
            <w:bottom w:w="0" w:type="dxa"/>
            <w:right w:w="0" w:type="dxa"/>
          </w:tblCellMar>
        </w:tblPrEx>
        <w:trPr>
          <w:trHeight w:val="212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34D084">
            <w:pPr>
              <w:keepNext w:val="0"/>
              <w:keepLines w:val="0"/>
              <w:widowControl/>
              <w:suppressLineNumbers w:val="0"/>
              <w:jc w:val="center"/>
              <w:textAlignment w:val="center"/>
              <w:rPr>
                <w:rFonts w:hint="default" w:ascii="Times New Roman Regular" w:hAnsi="Times New Roman Regular" w:eastAsia="宋体" w:cs="Times New Roman Regular"/>
                <w:i w:val="0"/>
                <w:color w:val="000000"/>
                <w:sz w:val="24"/>
                <w:szCs w:val="24"/>
                <w:u w:val="none"/>
                <w:lang w:val="en-US" w:eastAsia="zh-CN"/>
              </w:rPr>
            </w:pPr>
            <w:r>
              <w:rPr>
                <w:rFonts w:hint="eastAsia" w:ascii="Times New Roman Regular" w:hAnsi="Times New Roman Regular" w:eastAsia="宋体" w:cs="Times New Roman Regular"/>
                <w:i w:val="0"/>
                <w:color w:val="000000"/>
                <w:sz w:val="24"/>
                <w:szCs w:val="24"/>
                <w:u w:val="none"/>
                <w:lang w:val="en-US" w:eastAsia="zh-CN"/>
              </w:rPr>
              <w:t>36</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C340B">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政府专职消防队的建设。</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98C975">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旗消防救援大队</w:t>
            </w:r>
          </w:p>
        </w:tc>
        <w:tc>
          <w:tcPr>
            <w:tcW w:w="5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45BBF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旗消防救援大队：</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1.负责监督、指导镇人民政府建立专职消防队或志愿消防队；</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2.组织验收专职消防队或志愿消防队；</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3.对专职消防队、志愿消防队等进行业务指导；</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4.将专职消防队、志愿消防队纳入统一管理体系，并根据火灾需要，调动专职消防队、志愿消防队参加火灾扑救工作。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履职保障：1.日常运行经费保障；2.专职队员保障；3.设备保障。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47C39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1.依法建立政府专职消防队或志愿消防队；</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2.开展消防宣传、疏散演练、防火巡查、隐患查改。</w:t>
            </w:r>
          </w:p>
        </w:tc>
      </w:tr>
      <w:tr w14:paraId="07D3E8FF">
        <w:tblPrEx>
          <w:shd w:val="clear" w:color="auto" w:fill="auto"/>
          <w:tblCellMar>
            <w:top w:w="0" w:type="dxa"/>
            <w:left w:w="0" w:type="dxa"/>
            <w:bottom w:w="0" w:type="dxa"/>
            <w:right w:w="0" w:type="dxa"/>
          </w:tblCellMar>
        </w:tblPrEx>
        <w:trPr>
          <w:trHeight w:val="212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D4E56">
            <w:pPr>
              <w:keepNext w:val="0"/>
              <w:keepLines w:val="0"/>
              <w:widowControl/>
              <w:suppressLineNumbers w:val="0"/>
              <w:jc w:val="center"/>
              <w:textAlignment w:val="center"/>
              <w:rPr>
                <w:rFonts w:hint="default" w:ascii="Times New Roman Regular" w:hAnsi="Times New Roman Regular" w:eastAsia="宋体" w:cs="Times New Roman Regular"/>
                <w:i w:val="0"/>
                <w:color w:val="000000"/>
                <w:sz w:val="24"/>
                <w:szCs w:val="24"/>
                <w:u w:val="none"/>
                <w:lang w:val="en-US" w:eastAsia="zh-CN"/>
              </w:rPr>
            </w:pPr>
            <w:r>
              <w:rPr>
                <w:rFonts w:hint="eastAsia" w:ascii="Times New Roman Regular" w:hAnsi="Times New Roman Regular" w:eastAsia="宋体" w:cs="Times New Roman Regular"/>
                <w:i w:val="0"/>
                <w:color w:val="000000"/>
                <w:sz w:val="24"/>
                <w:szCs w:val="24"/>
                <w:u w:val="none"/>
                <w:lang w:val="en-US" w:eastAsia="zh-CN"/>
              </w:rPr>
              <w:t>37</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5DC79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组织开展经常性、针对性的消防安全宣传教育和应急疏散预案演练，提高公民的消防安全意识。</w:t>
            </w:r>
          </w:p>
        </w:tc>
        <w:tc>
          <w:tcPr>
            <w:tcW w:w="2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B8F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旗消防救援大队</w:t>
            </w:r>
          </w:p>
        </w:tc>
        <w:tc>
          <w:tcPr>
            <w:tcW w:w="53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DDB97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旗消防救援大队：</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1.指导镇人民政府开展消防安全宣传教育；</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2.监督指导镇人民政府编制消防应急预案，并开展预案演练。</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履职保障：1.政策支持；2.业务指导。</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8C5F5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1.开展经常性、针对性的消防安全宣传教育；</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2.编制消防应急预案并组织开展消防应急预案演练。</w:t>
            </w:r>
          </w:p>
        </w:tc>
      </w:tr>
    </w:tbl>
    <w:p w14:paraId="60E4124D"/>
    <w:tbl>
      <w:tblPr>
        <w:tblStyle w:val="4"/>
        <w:tblW w:w="5022" w:type="pct"/>
        <w:tblInd w:w="0" w:type="dxa"/>
        <w:shd w:val="clear" w:color="auto" w:fill="auto"/>
        <w:tblLayout w:type="fixed"/>
        <w:tblCellMar>
          <w:top w:w="0" w:type="dxa"/>
          <w:left w:w="0" w:type="dxa"/>
          <w:bottom w:w="0" w:type="dxa"/>
          <w:right w:w="0" w:type="dxa"/>
        </w:tblCellMar>
      </w:tblPr>
      <w:tblGrid>
        <w:gridCol w:w="926"/>
        <w:gridCol w:w="1720"/>
        <w:gridCol w:w="2838"/>
        <w:gridCol w:w="5313"/>
        <w:gridCol w:w="4699"/>
      </w:tblGrid>
      <w:tr w14:paraId="7F5D73FB">
        <w:tblPrEx>
          <w:shd w:val="clear" w:color="auto" w:fill="auto"/>
          <w:tblCellMar>
            <w:top w:w="0" w:type="dxa"/>
            <w:left w:w="0" w:type="dxa"/>
            <w:bottom w:w="0" w:type="dxa"/>
            <w:right w:w="0" w:type="dxa"/>
          </w:tblCellMar>
        </w:tblPrEx>
        <w:trPr>
          <w:trHeight w:val="90" w:hRule="atLeast"/>
        </w:trPr>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DD2428">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000000"/>
                <w:sz w:val="24"/>
                <w:szCs w:val="24"/>
                <w:u w:val="none"/>
                <w:lang w:val="en-US"/>
              </w:rPr>
            </w:pPr>
            <w:r>
              <w:rPr>
                <w:rFonts w:hint="eastAsia" w:ascii="Times New Roman Regular" w:hAnsi="Times New Roman Regular" w:eastAsia="Times New Roman Regular" w:cs="Times New Roman Regular"/>
                <w:i w:val="0"/>
                <w:color w:val="000000"/>
                <w:kern w:val="0"/>
                <w:sz w:val="24"/>
                <w:szCs w:val="24"/>
                <w:u w:val="none"/>
                <w:lang w:val="en-US" w:eastAsia="zh-CN" w:bidi="ar"/>
              </w:rPr>
              <w:t>38</w:t>
            </w:r>
          </w:p>
        </w:tc>
        <w:tc>
          <w:tcPr>
            <w:tcW w:w="1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0E9B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公共场所消防安全隐患排查并督促整改。</w:t>
            </w:r>
          </w:p>
        </w:tc>
        <w:tc>
          <w:tcPr>
            <w:tcW w:w="2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C960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旗消防救援大队</w:t>
            </w:r>
          </w:p>
        </w:tc>
        <w:tc>
          <w:tcPr>
            <w:tcW w:w="53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7AE6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旗消防救援大队：</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1.制定消防安全检查方案，将发生火灾可能性较大以及发生火灾可能造成重大的人身伤亡或者财产损失的单位，确定为消防安全重点单位；</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2.部署消防安全整治，组织开展消防安全检查，督促整改火灾隐患；</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3.督促有关部门对检查发现及上报的消防安全隐患进行整改；</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4.对上报的违法行为及时进行处罚。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履职保障：1.政策支持；2.业务培训。</w:t>
            </w:r>
          </w:p>
        </w:tc>
        <w:tc>
          <w:tcPr>
            <w:tcW w:w="46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493D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1.对辖区内单位、场所易发现、易处置的消防安全问题、隐患进行日常检查工作，督促隐患整改；</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2.发现消防类违法违规行为及时劝告制止并上报；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3.配合相关单位对辖区内消防安全隐患进行整治。</w:t>
            </w:r>
          </w:p>
        </w:tc>
      </w:tr>
      <w:tr w14:paraId="47072805">
        <w:tblPrEx>
          <w:shd w:val="clear" w:color="auto" w:fill="auto"/>
          <w:tblCellMar>
            <w:top w:w="0" w:type="dxa"/>
            <w:left w:w="0" w:type="dxa"/>
            <w:bottom w:w="0" w:type="dxa"/>
            <w:right w:w="0" w:type="dxa"/>
          </w:tblCellMar>
        </w:tblPrEx>
        <w:trPr>
          <w:trHeight w:val="2476" w:hRule="atLeast"/>
        </w:trPr>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C9F828">
            <w:pPr>
              <w:keepNext w:val="0"/>
              <w:keepLines w:val="0"/>
              <w:widowControl/>
              <w:suppressLineNumbers w:val="0"/>
              <w:jc w:val="center"/>
              <w:textAlignment w:val="center"/>
              <w:rPr>
                <w:rFonts w:hint="default" w:ascii="Times New Roman Regular" w:hAnsi="Times New Roman Regular" w:eastAsia="宋体" w:cs="Times New Roman Regular"/>
                <w:i w:val="0"/>
                <w:color w:val="000000"/>
                <w:sz w:val="24"/>
                <w:szCs w:val="24"/>
                <w:u w:val="none"/>
                <w:lang w:val="en-US" w:eastAsia="zh-CN"/>
              </w:rPr>
            </w:pPr>
            <w:r>
              <w:rPr>
                <w:rFonts w:hint="eastAsia" w:ascii="Times New Roman Regular" w:hAnsi="Times New Roman Regular" w:eastAsia="宋体" w:cs="Times New Roman Regular"/>
                <w:i w:val="0"/>
                <w:color w:val="000000"/>
                <w:sz w:val="24"/>
                <w:szCs w:val="24"/>
                <w:u w:val="none"/>
                <w:lang w:val="en-US" w:eastAsia="zh-CN"/>
              </w:rPr>
              <w:t>39</w:t>
            </w:r>
          </w:p>
        </w:tc>
        <w:tc>
          <w:tcPr>
            <w:tcW w:w="1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9CF52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组织开展安全事故应急救援预案演练。</w:t>
            </w:r>
          </w:p>
        </w:tc>
        <w:tc>
          <w:tcPr>
            <w:tcW w:w="2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F11C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旗应急管理局</w:t>
            </w:r>
          </w:p>
        </w:tc>
        <w:tc>
          <w:tcPr>
            <w:tcW w:w="53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5C48B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旗应急管理局：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1.指导突发事件应急预案体系建设，综合协调应急预案衔接工作，增强有关应急预案的衔接性和时效性；</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2.指导各镇及社会应急救援力量建设，拟订全旗应急救援队伍管理保障办法并组织实施；</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3.承担应急预案演练的组织实施和指导监督工作。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履职保障：1.业务培训；2.技术指导。</w:t>
            </w:r>
          </w:p>
        </w:tc>
        <w:tc>
          <w:tcPr>
            <w:tcW w:w="46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032AA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1.制定应急演练方案；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2.协调应急演练人员场地；</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3.开展演练；</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4.总结经验。</w:t>
            </w:r>
          </w:p>
        </w:tc>
      </w:tr>
      <w:tr w14:paraId="397BE812">
        <w:tblPrEx>
          <w:shd w:val="clear" w:color="auto" w:fill="auto"/>
          <w:tblCellMar>
            <w:top w:w="0" w:type="dxa"/>
            <w:left w:w="0" w:type="dxa"/>
            <w:bottom w:w="0" w:type="dxa"/>
            <w:right w:w="0" w:type="dxa"/>
          </w:tblCellMar>
        </w:tblPrEx>
        <w:trPr>
          <w:trHeight w:val="90" w:hRule="atLeast"/>
        </w:trPr>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F9E70">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000000"/>
                <w:sz w:val="24"/>
                <w:szCs w:val="24"/>
                <w:u w:val="none"/>
                <w:lang w:val="en-US"/>
              </w:rPr>
            </w:pPr>
            <w:r>
              <w:rPr>
                <w:rFonts w:hint="default" w:ascii="Times New Roman Regular" w:hAnsi="Times New Roman Regular" w:eastAsia="Times New Roman Regular" w:cs="Times New Roman Regular"/>
                <w:i w:val="0"/>
                <w:color w:val="000000"/>
                <w:kern w:val="0"/>
                <w:sz w:val="24"/>
                <w:szCs w:val="24"/>
                <w:u w:val="none"/>
                <w:lang w:val="en-US" w:eastAsia="zh-CN" w:bidi="ar"/>
              </w:rPr>
              <w:t>4</w:t>
            </w:r>
            <w:r>
              <w:rPr>
                <w:rFonts w:hint="eastAsia" w:ascii="Times New Roman Regular" w:hAnsi="Times New Roman Regular" w:eastAsia="Times New Roman Regular" w:cs="Times New Roman Regular"/>
                <w:i w:val="0"/>
                <w:color w:val="000000"/>
                <w:kern w:val="0"/>
                <w:sz w:val="24"/>
                <w:szCs w:val="24"/>
                <w:u w:val="none"/>
                <w:lang w:val="en-US" w:eastAsia="zh-CN" w:bidi="ar"/>
              </w:rPr>
              <w:t>0</w:t>
            </w:r>
          </w:p>
        </w:tc>
        <w:tc>
          <w:tcPr>
            <w:tcW w:w="1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EC70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开展安全生产隐患排查、整治工作。</w:t>
            </w:r>
          </w:p>
        </w:tc>
        <w:tc>
          <w:tcPr>
            <w:tcW w:w="2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1F947">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旗应急管理局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旗民政局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旗工信和科技局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旗卫生健康委员会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旗文化和旅游局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旗能源局</w:t>
            </w:r>
          </w:p>
        </w:tc>
        <w:tc>
          <w:tcPr>
            <w:tcW w:w="53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DD8A6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旗应急管理局：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1.负责危化、矿山、工贸行业领域的安全生产监管工作；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2.收到镇上报的直管行业领域的安全隐患问题后，立即组织人员到现场进行复核；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3.确定为安全隐患的，下达整改通知书，在整改期限内，跟踪督促生产经营单位落实整改措施。</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旗民政局：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负责民政系统安全监督管理。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负责种植养殖企业、家庭农牧场安全生产监督管理；负责沼气生产运行安全监管；负责采砂影响防洪安全、河势稳定、堤防安全的监督管理。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旗工信和科技局：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负责成品油流通、旧货流通和再生资源回收等行业安全监督管理。</w:t>
            </w:r>
          </w:p>
        </w:tc>
        <w:tc>
          <w:tcPr>
            <w:tcW w:w="46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FBAD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1.督促生产经营单位落实安全生产主体责任；</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2.配合行业主管部门对生产经营单位进行安全生产检查；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3.对于检查过程中发现的安全隐患，及时上报行业主管部门并配合督促整改；</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4.对于拒不整改的，及时上报行业主管部门。</w:t>
            </w:r>
          </w:p>
        </w:tc>
      </w:tr>
      <w:tr w14:paraId="0960A61F">
        <w:tblPrEx>
          <w:shd w:val="clear" w:color="auto" w:fill="auto"/>
          <w:tblCellMar>
            <w:top w:w="0" w:type="dxa"/>
            <w:left w:w="0" w:type="dxa"/>
            <w:bottom w:w="0" w:type="dxa"/>
            <w:right w:w="0" w:type="dxa"/>
          </w:tblCellMar>
        </w:tblPrEx>
        <w:trPr>
          <w:trHeight w:val="90" w:hRule="atLeast"/>
        </w:trPr>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4F487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Regular" w:hAnsi="Times New Roman Regular" w:eastAsia="Times New Roman Regular" w:cs="Times New Roman Regular"/>
                <w:i w:val="0"/>
                <w:color w:val="000000"/>
                <w:kern w:val="2"/>
                <w:sz w:val="24"/>
                <w:szCs w:val="24"/>
                <w:u w:val="none"/>
                <w:lang w:val="en-US" w:eastAsia="zh-CN" w:bidi="ar-SA"/>
              </w:rPr>
            </w:pPr>
            <w:r>
              <w:rPr>
                <w:rFonts w:hint="default" w:ascii="Times New Roman Regular" w:hAnsi="Times New Roman Regular" w:eastAsia="Times New Roman Regular" w:cs="Times New Roman Regular"/>
                <w:i w:val="0"/>
                <w:color w:val="000000"/>
                <w:kern w:val="0"/>
                <w:sz w:val="24"/>
                <w:szCs w:val="24"/>
                <w:u w:val="none"/>
                <w:lang w:val="en-US" w:eastAsia="zh-CN" w:bidi="ar"/>
              </w:rPr>
              <w:t>4</w:t>
            </w:r>
            <w:r>
              <w:rPr>
                <w:rFonts w:hint="eastAsia" w:ascii="Times New Roman Regular" w:hAnsi="Times New Roman Regular" w:eastAsia="Times New Roman Regular" w:cs="Times New Roman Regular"/>
                <w:i w:val="0"/>
                <w:color w:val="000000"/>
                <w:kern w:val="0"/>
                <w:sz w:val="24"/>
                <w:szCs w:val="24"/>
                <w:u w:val="none"/>
                <w:lang w:val="en-US" w:eastAsia="zh-CN" w:bidi="ar"/>
              </w:rPr>
              <w:t>0</w:t>
            </w:r>
          </w:p>
        </w:tc>
        <w:tc>
          <w:tcPr>
            <w:tcW w:w="1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C2A23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default" w:ascii="仿宋_GB2312" w:hAnsi="宋体" w:eastAsia="仿宋_GB2312" w:cs="仿宋_GB2312"/>
                <w:i w:val="0"/>
                <w:color w:val="000000"/>
                <w:kern w:val="2"/>
                <w:sz w:val="24"/>
                <w:szCs w:val="24"/>
                <w:u w:val="none"/>
                <w:lang w:val="en-US" w:eastAsia="zh-CN" w:bidi="ar-SA"/>
              </w:rPr>
            </w:pPr>
            <w:r>
              <w:rPr>
                <w:rFonts w:hint="eastAsia" w:ascii="仿宋_GB2312" w:hAnsi="宋体" w:eastAsia="仿宋_GB2312" w:cs="仿宋_GB2312"/>
                <w:i w:val="0"/>
                <w:color w:val="000000"/>
                <w:kern w:val="0"/>
                <w:sz w:val="24"/>
                <w:szCs w:val="24"/>
                <w:u w:val="none"/>
                <w:lang w:val="en-US" w:eastAsia="zh-CN" w:bidi="ar"/>
              </w:rPr>
              <w:t>开展安全生产隐患排查、整治工作。</w:t>
            </w:r>
          </w:p>
        </w:tc>
        <w:tc>
          <w:tcPr>
            <w:tcW w:w="2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95512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仿宋_GB2312" w:hAnsi="宋体" w:eastAsia="仿宋_GB2312" w:cs="仿宋_GB2312"/>
                <w:i w:val="0"/>
                <w:color w:val="000000"/>
                <w:kern w:val="2"/>
                <w:sz w:val="24"/>
                <w:szCs w:val="24"/>
                <w:u w:val="none"/>
                <w:lang w:val="en-US" w:eastAsia="zh-CN" w:bidi="ar-SA"/>
              </w:rPr>
            </w:pPr>
            <w:r>
              <w:rPr>
                <w:rFonts w:hint="eastAsia" w:ascii="仿宋_GB2312" w:hAnsi="宋体" w:eastAsia="仿宋_GB2312" w:cs="仿宋_GB2312"/>
                <w:i w:val="0"/>
                <w:color w:val="000000"/>
                <w:kern w:val="0"/>
                <w:sz w:val="24"/>
                <w:szCs w:val="24"/>
                <w:u w:val="none"/>
                <w:lang w:val="en-US" w:eastAsia="zh-CN" w:bidi="ar"/>
              </w:rPr>
              <w:t>旗应急管理局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旗民政局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旗工信和科技局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旗卫生健康委员会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旗文化和旅游局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旗能源局</w:t>
            </w:r>
          </w:p>
        </w:tc>
        <w:tc>
          <w:tcPr>
            <w:tcW w:w="53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8BDC0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default" w:ascii="Times New Roman Regular" w:hAnsi="Times New Roman Regular" w:eastAsia="Times New Roman Regular" w:cs="Times New Roman Regular"/>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旗卫生健康委员会：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负责医疗卫生机构安全监督管理。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负责限额以上房屋和市政建设工程安全生产监督管理；负责商砼企业的安全生产监督管理。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旗文化和旅游局：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负责大型演出活动安全生产监督管理。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旗能源局：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负责电力行业（含储能电站、风电和光伏发电）、石油天然气长输管道、煤场、煤炭洗选厂、煤炭集装站以及煤炭物流园区安全生产监督管理工作，牵头做好风光电制氢项目安全监管。</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履职保障：1.业务培训；2.政策支持。</w:t>
            </w:r>
          </w:p>
        </w:tc>
        <w:tc>
          <w:tcPr>
            <w:tcW w:w="46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CAFBB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default" w:ascii="Times New Roman Regular" w:hAnsi="Times New Roman Regular" w:eastAsia="Times New Roman Regular" w:cs="Times New Roman Regular"/>
                <w:i w:val="0"/>
                <w:color w:val="000000"/>
                <w:kern w:val="0"/>
                <w:sz w:val="24"/>
                <w:szCs w:val="24"/>
                <w:u w:val="none"/>
                <w:lang w:val="en-US" w:eastAsia="zh-CN" w:bidi="ar"/>
              </w:rPr>
            </w:pPr>
          </w:p>
        </w:tc>
      </w:tr>
      <w:tr w14:paraId="3A84820C">
        <w:tblPrEx>
          <w:shd w:val="clear" w:color="auto" w:fill="auto"/>
          <w:tblCellMar>
            <w:top w:w="0" w:type="dxa"/>
            <w:left w:w="0" w:type="dxa"/>
            <w:bottom w:w="0" w:type="dxa"/>
            <w:right w:w="0" w:type="dxa"/>
          </w:tblCellMar>
        </w:tblPrEx>
        <w:trPr>
          <w:trHeight w:val="312" w:hRule="atLeast"/>
        </w:trPr>
        <w:tc>
          <w:tcPr>
            <w:tcW w:w="926"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6A86A22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Regular" w:hAnsi="Times New Roman Regular" w:eastAsia="Times New Roman Regular" w:cs="Times New Roman Regular"/>
                <w:i w:val="0"/>
                <w:color w:val="000000"/>
                <w:sz w:val="24"/>
                <w:szCs w:val="24"/>
                <w:u w:val="none"/>
                <w:lang w:val="en-US"/>
              </w:rPr>
            </w:pPr>
            <w:r>
              <w:rPr>
                <w:rFonts w:hint="default" w:ascii="Times New Roman Regular" w:hAnsi="Times New Roman Regular" w:eastAsia="Times New Roman Regular" w:cs="Times New Roman Regular"/>
                <w:i w:val="0"/>
                <w:color w:val="000000"/>
                <w:kern w:val="0"/>
                <w:sz w:val="24"/>
                <w:szCs w:val="24"/>
                <w:u w:val="none"/>
                <w:lang w:val="en-US" w:eastAsia="zh-CN" w:bidi="ar"/>
              </w:rPr>
              <w:t>4</w:t>
            </w:r>
            <w:r>
              <w:rPr>
                <w:rFonts w:hint="eastAsia" w:ascii="Times New Roman Regular" w:hAnsi="Times New Roman Regular" w:eastAsia="Times New Roman Regular" w:cs="Times New Roman Regular"/>
                <w:i w:val="0"/>
                <w:color w:val="000000"/>
                <w:kern w:val="0"/>
                <w:sz w:val="24"/>
                <w:szCs w:val="24"/>
                <w:u w:val="none"/>
                <w:lang w:val="en-US" w:eastAsia="zh-CN" w:bidi="ar"/>
              </w:rPr>
              <w:t>1</w:t>
            </w:r>
          </w:p>
        </w:tc>
        <w:tc>
          <w:tcPr>
            <w:tcW w:w="172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7BC7B0A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依法履行安全生产监督管理职责，对辖区内生产经营单位安全生产状况进行监督检查，对安全生产事故进行应急处置和调查。</w:t>
            </w:r>
          </w:p>
        </w:tc>
        <w:tc>
          <w:tcPr>
            <w:tcW w:w="2838"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59A92F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旗应急管理局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旗消防救援大队</w:t>
            </w:r>
          </w:p>
        </w:tc>
        <w:tc>
          <w:tcPr>
            <w:tcW w:w="5313"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41A67E1B">
            <w:pPr>
              <w:keepNext w:val="0"/>
              <w:keepLines w:val="0"/>
              <w:pageBreakBefore w:val="0"/>
              <w:widowControl/>
              <w:kinsoku/>
              <w:wordWrap/>
              <w:overflowPunct/>
              <w:topLinePunct w:val="0"/>
              <w:autoSpaceDE/>
              <w:autoSpaceDN/>
              <w:bidi w:val="0"/>
              <w:adjustRightInd/>
              <w:snapToGrid/>
              <w:spacing w:line="240" w:lineRule="auto"/>
              <w:jc w:val="both"/>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旗应急管理局：</w:t>
            </w:r>
          </w:p>
          <w:p w14:paraId="672E4F38">
            <w:pPr>
              <w:keepNext w:val="0"/>
              <w:keepLines w:val="0"/>
              <w:pageBreakBefore w:val="0"/>
              <w:widowControl/>
              <w:kinsoku/>
              <w:wordWrap/>
              <w:overflowPunct/>
              <w:topLinePunct w:val="0"/>
              <w:autoSpaceDE/>
              <w:autoSpaceDN/>
              <w:bidi w:val="0"/>
              <w:adjustRightInd/>
              <w:snapToGrid/>
              <w:spacing w:line="240" w:lineRule="auto"/>
              <w:jc w:val="both"/>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1.制定监管范围内安全生产年度监督检查计划，按照计划对生产经营单位进行检查，督促其消除重大事故隐患；对涉及安全生产的事项进行审查批准或验收时，严格依照相关标准和程序，确保生产经营单位具备安全生产条件；依法开展行政执法工作，对发现的重大事故隐患，责令生产经营单位立即排除，在隐患排除前或排除过程中无法保证安全的，责令其撤出作业人员、停产停业或停止使用相关设施设备。对未依法取得安全生产许可证等擅自进行煤矿生产的，应当依法查处；</w:t>
            </w:r>
          </w:p>
          <w:p w14:paraId="1CAE302D">
            <w:pPr>
              <w:keepNext w:val="0"/>
              <w:keepLines w:val="0"/>
              <w:pageBreakBefore w:val="0"/>
              <w:widowControl/>
              <w:kinsoku/>
              <w:wordWrap/>
              <w:overflowPunct/>
              <w:topLinePunct w:val="0"/>
              <w:autoSpaceDE/>
              <w:autoSpaceDN/>
              <w:bidi w:val="0"/>
              <w:adjustRightInd/>
              <w:snapToGrid/>
              <w:spacing w:line="240" w:lineRule="auto"/>
              <w:jc w:val="both"/>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2.负责组织旗人民政府认为有必要调查处理的生产安全事故调查处理工作（煤矿和特种设备事故除外）和应急处置工作。</w:t>
            </w:r>
          </w:p>
          <w:p w14:paraId="3A3E8A76">
            <w:pPr>
              <w:keepNext w:val="0"/>
              <w:keepLines w:val="0"/>
              <w:pageBreakBefore w:val="0"/>
              <w:widowControl/>
              <w:kinsoku/>
              <w:wordWrap/>
              <w:overflowPunct/>
              <w:topLinePunct w:val="0"/>
              <w:autoSpaceDE/>
              <w:autoSpaceDN/>
              <w:bidi w:val="0"/>
              <w:adjustRightInd/>
              <w:snapToGrid/>
              <w:spacing w:line="240" w:lineRule="auto"/>
              <w:jc w:val="both"/>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旗消防救援大队：</w:t>
            </w:r>
          </w:p>
          <w:p w14:paraId="6ADF57E2">
            <w:pPr>
              <w:keepNext w:val="0"/>
              <w:keepLines w:val="0"/>
              <w:pageBreakBefore w:val="0"/>
              <w:widowControl/>
              <w:kinsoku/>
              <w:wordWrap/>
              <w:overflowPunct/>
              <w:topLinePunct w:val="0"/>
              <w:autoSpaceDE/>
              <w:autoSpaceDN/>
              <w:bidi w:val="0"/>
              <w:adjustRightInd/>
              <w:snapToGrid/>
              <w:spacing w:line="240" w:lineRule="auto"/>
              <w:jc w:val="both"/>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负责火灾事故调查处理和生产安全事故的应急救援工作。</w:t>
            </w:r>
          </w:p>
        </w:tc>
        <w:tc>
          <w:tcPr>
            <w:tcW w:w="4699"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7C9C4334">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1.按照职责对辖区内生产经营单位安全生产状况进行监督检查；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2.配合相关部门定期开展重点检查，着重开展“九小场所”、农家乐、经营性自建房等风险隐患排查，对检查发现的问题督促整改；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3.对拒不整改的问题上报并配合上级相关部门督促整改；</w:t>
            </w:r>
          </w:p>
          <w:p w14:paraId="304730C2">
            <w:pPr>
              <w:keepNext w:val="0"/>
              <w:keepLines w:val="0"/>
              <w:pageBreakBefore w:val="0"/>
              <w:widowControl/>
              <w:kinsoku/>
              <w:wordWrap/>
              <w:overflowPunct/>
              <w:topLinePunct w:val="0"/>
              <w:autoSpaceDE/>
              <w:autoSpaceDN/>
              <w:bidi w:val="0"/>
              <w:adjustRightInd/>
              <w:snapToGrid/>
              <w:spacing w:line="240" w:lineRule="auto"/>
              <w:jc w:val="both"/>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auto"/>
                <w:kern w:val="0"/>
                <w:sz w:val="24"/>
                <w:szCs w:val="24"/>
                <w:u w:val="none"/>
                <w:lang w:val="en-US" w:eastAsia="zh-CN" w:bidi="ar"/>
              </w:rPr>
              <w:t>4.安全生产事故发生时第一时间赶赴现场进行人员疏散、物资调配和群众情绪安抚等工作，并及时上报相关情况；</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5.成立现场临时指挥部，设立警戒区，疏散周边群众，防止次生灾害发生，同时做好舆情防控；</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6.根据实际情况，开展突发事件先期处置工作，避免或防止事态进一步扩大；</w:t>
            </w:r>
          </w:p>
        </w:tc>
      </w:tr>
      <w:tr w14:paraId="612E6E59">
        <w:tblPrEx>
          <w:shd w:val="clear" w:color="auto" w:fill="auto"/>
          <w:tblCellMar>
            <w:top w:w="0" w:type="dxa"/>
            <w:left w:w="0" w:type="dxa"/>
            <w:bottom w:w="0" w:type="dxa"/>
            <w:right w:w="0" w:type="dxa"/>
          </w:tblCellMar>
        </w:tblPrEx>
        <w:trPr>
          <w:trHeight w:val="5241" w:hRule="atLeast"/>
        </w:trPr>
        <w:tc>
          <w:tcPr>
            <w:tcW w:w="92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5C7612">
            <w:pPr>
              <w:jc w:val="center"/>
              <w:rPr>
                <w:rFonts w:hint="default" w:ascii="Times New Roman Regular" w:hAnsi="Times New Roman Regular" w:eastAsia="Times New Roman Regular" w:cs="Times New Roman Regular"/>
                <w:i w:val="0"/>
                <w:color w:val="000000"/>
                <w:sz w:val="24"/>
                <w:szCs w:val="24"/>
                <w:u w:val="none"/>
              </w:rPr>
            </w:pPr>
          </w:p>
        </w:tc>
        <w:tc>
          <w:tcPr>
            <w:tcW w:w="1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0C7F63">
            <w:pPr>
              <w:jc w:val="both"/>
              <w:rPr>
                <w:rFonts w:hint="eastAsia" w:ascii="仿宋_GB2312" w:hAnsi="宋体" w:eastAsia="仿宋_GB2312" w:cs="仿宋_GB2312"/>
                <w:i w:val="0"/>
                <w:color w:val="000000"/>
                <w:sz w:val="24"/>
                <w:szCs w:val="24"/>
                <w:u w:val="none"/>
              </w:rPr>
            </w:pPr>
          </w:p>
        </w:tc>
        <w:tc>
          <w:tcPr>
            <w:tcW w:w="28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778265">
            <w:pPr>
              <w:jc w:val="center"/>
              <w:rPr>
                <w:rFonts w:hint="eastAsia" w:ascii="仿宋_GB2312" w:hAnsi="宋体" w:eastAsia="仿宋_GB2312" w:cs="仿宋_GB2312"/>
                <w:i w:val="0"/>
                <w:color w:val="000000"/>
                <w:sz w:val="24"/>
                <w:szCs w:val="24"/>
                <w:u w:val="none"/>
              </w:rPr>
            </w:pPr>
          </w:p>
        </w:tc>
        <w:tc>
          <w:tcPr>
            <w:tcW w:w="53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59E65">
            <w:pPr>
              <w:jc w:val="both"/>
              <w:rPr>
                <w:rFonts w:hint="eastAsia" w:ascii="仿宋_GB2312" w:hAnsi="宋体" w:eastAsia="仿宋_GB2312" w:cs="仿宋_GB2312"/>
                <w:i w:val="0"/>
                <w:color w:val="000000"/>
                <w:kern w:val="0"/>
                <w:sz w:val="24"/>
                <w:szCs w:val="24"/>
                <w:u w:val="none"/>
                <w:lang w:val="en-US" w:eastAsia="zh-CN" w:bidi="ar"/>
              </w:rPr>
            </w:pPr>
          </w:p>
        </w:tc>
        <w:tc>
          <w:tcPr>
            <w:tcW w:w="46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482640">
            <w:pPr>
              <w:jc w:val="both"/>
              <w:rPr>
                <w:rFonts w:hint="eastAsia" w:ascii="仿宋_GB2312" w:hAnsi="宋体" w:eastAsia="仿宋_GB2312" w:cs="仿宋_GB2312"/>
                <w:i w:val="0"/>
                <w:color w:val="000000"/>
                <w:sz w:val="24"/>
                <w:szCs w:val="24"/>
                <w:u w:val="none"/>
              </w:rPr>
            </w:pPr>
          </w:p>
        </w:tc>
      </w:tr>
    </w:tbl>
    <w:p w14:paraId="2EA3B76D"/>
    <w:tbl>
      <w:tblPr>
        <w:tblStyle w:val="4"/>
        <w:tblW w:w="4997" w:type="pct"/>
        <w:tblInd w:w="0" w:type="dxa"/>
        <w:shd w:val="clear" w:color="auto" w:fill="auto"/>
        <w:tblLayout w:type="fixed"/>
        <w:tblCellMar>
          <w:top w:w="0" w:type="dxa"/>
          <w:left w:w="0" w:type="dxa"/>
          <w:bottom w:w="0" w:type="dxa"/>
          <w:right w:w="0" w:type="dxa"/>
        </w:tblCellMar>
      </w:tblPr>
      <w:tblGrid>
        <w:gridCol w:w="922"/>
        <w:gridCol w:w="1712"/>
        <w:gridCol w:w="2851"/>
        <w:gridCol w:w="5259"/>
        <w:gridCol w:w="4675"/>
      </w:tblGrid>
      <w:tr w14:paraId="7E5EBD00">
        <w:tblPrEx>
          <w:shd w:val="clear" w:color="auto" w:fill="auto"/>
          <w:tblCellMar>
            <w:top w:w="0" w:type="dxa"/>
            <w:left w:w="0" w:type="dxa"/>
            <w:bottom w:w="0" w:type="dxa"/>
            <w:right w:w="0" w:type="dxa"/>
          </w:tblCellMar>
        </w:tblPrEx>
        <w:trPr>
          <w:trHeight w:val="504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80D16D">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auto"/>
                <w:kern w:val="0"/>
                <w:sz w:val="24"/>
                <w:szCs w:val="24"/>
                <w:u w:val="none"/>
                <w:lang w:val="en-US" w:eastAsia="zh-CN" w:bidi="ar"/>
              </w:rPr>
            </w:pPr>
            <w:r>
              <w:rPr>
                <w:rFonts w:hint="default" w:ascii="Times New Roman Regular" w:hAnsi="Times New Roman Regular" w:eastAsia="Times New Roman Regular" w:cs="Times New Roman Regular"/>
                <w:i w:val="0"/>
                <w:color w:val="auto"/>
                <w:kern w:val="0"/>
                <w:sz w:val="24"/>
                <w:szCs w:val="24"/>
                <w:u w:val="none"/>
                <w:lang w:val="en-US" w:eastAsia="zh-CN" w:bidi="ar"/>
              </w:rPr>
              <w:t>4</w:t>
            </w:r>
            <w:r>
              <w:rPr>
                <w:rFonts w:hint="eastAsia" w:ascii="Times New Roman Regular" w:hAnsi="Times New Roman Regular" w:eastAsia="Times New Roman Regular" w:cs="Times New Roman Regular"/>
                <w:i w:val="0"/>
                <w:color w:val="auto"/>
                <w:kern w:val="0"/>
                <w:sz w:val="24"/>
                <w:szCs w:val="24"/>
                <w:u w:val="none"/>
                <w:lang w:val="en-US" w:eastAsia="zh-CN" w:bidi="ar"/>
              </w:rPr>
              <w:t>1</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E28522">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依法履行安全生产监督管理职责，对辖区内生产经营单位安全生产状况进行监督检查，对安全生产事故进行应急处置和调查。</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9A960">
            <w:pPr>
              <w:keepNext w:val="0"/>
              <w:keepLines w:val="0"/>
              <w:widowControl/>
              <w:suppressLineNumbers w:val="0"/>
              <w:jc w:val="center"/>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旗发展和改革委员会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旗民族事务委员会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旗宗教事务局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旗财政局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旗文化和旅游局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旗能源局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旗代建中心</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旗新闻出版广电局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旗教育体育局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spacing w:val="-20"/>
                <w:w w:val="100"/>
                <w:kern w:val="0"/>
                <w:sz w:val="24"/>
                <w:szCs w:val="24"/>
                <w:u w:val="none"/>
                <w:lang w:val="en-US" w:eastAsia="zh-CN" w:bidi="ar"/>
              </w:rPr>
              <w:t>市生态环境局鄂托克前旗分局</w:t>
            </w:r>
            <w:r>
              <w:rPr>
                <w:rFonts w:hint="eastAsia" w:ascii="仿宋_GB2312" w:hAnsi="宋体" w:eastAsia="仿宋_GB2312" w:cs="仿宋_GB2312"/>
                <w:i w:val="0"/>
                <w:color w:val="auto"/>
                <w:w w:val="88"/>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旗卫生健康委员会</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E636C9">
            <w:pPr>
              <w:keepNext w:val="0"/>
              <w:keepLines w:val="0"/>
              <w:pageBreakBefore w:val="0"/>
              <w:widowControl/>
              <w:kinsoku/>
              <w:wordWrap/>
              <w:overflowPunct/>
              <w:topLinePunct w:val="0"/>
              <w:autoSpaceDE/>
              <w:autoSpaceDN/>
              <w:bidi w:val="0"/>
              <w:adjustRightInd/>
              <w:snapToGrid/>
              <w:spacing w:line="240" w:lineRule="auto"/>
              <w:jc w:val="both"/>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旗发展和改革委员会：</w:t>
            </w:r>
          </w:p>
          <w:p w14:paraId="1F741D56">
            <w:pPr>
              <w:keepNext w:val="0"/>
              <w:keepLines w:val="0"/>
              <w:pageBreakBefore w:val="0"/>
              <w:widowControl/>
              <w:kinsoku/>
              <w:wordWrap/>
              <w:overflowPunct/>
              <w:topLinePunct w:val="0"/>
              <w:autoSpaceDE/>
              <w:autoSpaceDN/>
              <w:bidi w:val="0"/>
              <w:adjustRightInd/>
              <w:snapToGrid/>
              <w:spacing w:line="240" w:lineRule="auto"/>
              <w:jc w:val="both"/>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负责参与粮食、药品及救灾物资收储、轮换、调运和承储单位发生的生产安全事故调查和应急处置工作。</w:t>
            </w:r>
          </w:p>
          <w:p w14:paraId="5D95029D">
            <w:pPr>
              <w:keepNext w:val="0"/>
              <w:keepLines w:val="0"/>
              <w:pageBreakBefore w:val="0"/>
              <w:widowControl/>
              <w:kinsoku/>
              <w:wordWrap/>
              <w:overflowPunct/>
              <w:topLinePunct w:val="0"/>
              <w:autoSpaceDE/>
              <w:autoSpaceDN/>
              <w:bidi w:val="0"/>
              <w:adjustRightInd/>
              <w:snapToGrid/>
              <w:spacing w:line="240" w:lineRule="auto"/>
              <w:jc w:val="both"/>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旗民族事务委员会：</w:t>
            </w:r>
          </w:p>
          <w:p w14:paraId="0974434E">
            <w:pPr>
              <w:keepNext w:val="0"/>
              <w:keepLines w:val="0"/>
              <w:pageBreakBefore w:val="0"/>
              <w:widowControl/>
              <w:kinsoku/>
              <w:wordWrap/>
              <w:overflowPunct/>
              <w:topLinePunct w:val="0"/>
              <w:autoSpaceDE/>
              <w:autoSpaceDN/>
              <w:bidi w:val="0"/>
              <w:adjustRightInd/>
              <w:snapToGrid/>
              <w:spacing w:line="240" w:lineRule="auto"/>
              <w:jc w:val="both"/>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负责参与民族事务大中型活动中发生的生产安全事故调查和应急处置工作。</w:t>
            </w:r>
          </w:p>
          <w:p w14:paraId="5BAD2E92">
            <w:pPr>
              <w:keepNext w:val="0"/>
              <w:keepLines w:val="0"/>
              <w:pageBreakBefore w:val="0"/>
              <w:widowControl/>
              <w:kinsoku/>
              <w:wordWrap/>
              <w:overflowPunct/>
              <w:topLinePunct w:val="0"/>
              <w:autoSpaceDE/>
              <w:autoSpaceDN/>
              <w:bidi w:val="0"/>
              <w:adjustRightInd/>
              <w:snapToGrid/>
              <w:spacing w:line="240" w:lineRule="auto"/>
              <w:jc w:val="both"/>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旗宗教事务局：</w:t>
            </w:r>
          </w:p>
          <w:p w14:paraId="7E3929AE">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负责参与宗教事务活动场所和培训基地发生的生产安全事故调查和应急处置工作。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旗公安局：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负责参与全旗生产安全亡人事故和负责参与道路交通、民爆物品、大型群众性活动及“九小场所”等领域发生的生产安全事故调查和应急处置工作。</w:t>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负责参与民政系统包含养老机构、福利机构、医养结合机构等领域发生的生产安全事故调查和应急处置工作。</w:t>
            </w:r>
          </w:p>
          <w:p w14:paraId="1F75BE4C">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负责房屋市政、城镇燃气、加气站以及建设工程消防设计审查验收、自建房和农村牧区住房建设过程中发生的生产安全事故调查和应急处置工作。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负责参与铁路民航、危险化学品运输等领域发生的生产安全事故调查和应急处置工作。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负责参与农牧渔业、畜禽屠宰及水利行业等配套设施建设过程中发生的生产安全事故调查和应急处置工作。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旗文化和旅游局：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负责参与旅行社、景区、星级饭店、文物保护、KTV、网吧等文化娱乐场所发生的生产安全事故调查和应急处置工作。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52F68">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7.旗突发事件应急指挥部到达现场，将指挥权交由旗突发事件应急指挥部；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8.协助进行事故调查和善后处置；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9.落实生产安全事故调查报告中涉及本镇的相关防范和整改要求，并对事故发生单位落实防范和整改措施的情况进行监督检查。</w:t>
            </w:r>
          </w:p>
        </w:tc>
      </w:tr>
      <w:tr w14:paraId="71F3D70A">
        <w:tblPrEx>
          <w:shd w:val="clear" w:color="auto" w:fill="auto"/>
          <w:tblCellMar>
            <w:top w:w="0" w:type="dxa"/>
            <w:left w:w="0" w:type="dxa"/>
            <w:bottom w:w="0" w:type="dxa"/>
            <w:right w:w="0" w:type="dxa"/>
          </w:tblCellMar>
        </w:tblPrEx>
        <w:trPr>
          <w:trHeight w:val="3578"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75D07F">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auto"/>
                <w:kern w:val="0"/>
                <w:sz w:val="24"/>
                <w:szCs w:val="24"/>
                <w:u w:val="none"/>
                <w:lang w:val="en-US" w:eastAsia="zh-CN" w:bidi="ar"/>
              </w:rPr>
            </w:pPr>
            <w:r>
              <w:rPr>
                <w:rFonts w:hint="default" w:ascii="Times New Roman Regular" w:hAnsi="Times New Roman Regular" w:eastAsia="Times New Roman Regular" w:cs="Times New Roman Regular"/>
                <w:i w:val="0"/>
                <w:color w:val="auto"/>
                <w:kern w:val="0"/>
                <w:sz w:val="24"/>
                <w:szCs w:val="24"/>
                <w:u w:val="none"/>
                <w:lang w:val="en-US" w:eastAsia="zh-CN" w:bidi="ar"/>
              </w:rPr>
              <w:t>4</w:t>
            </w:r>
            <w:r>
              <w:rPr>
                <w:rFonts w:hint="eastAsia" w:ascii="Times New Roman Regular" w:hAnsi="Times New Roman Regular" w:eastAsia="Times New Roman Regular" w:cs="Times New Roman Regular"/>
                <w:i w:val="0"/>
                <w:color w:val="auto"/>
                <w:kern w:val="0"/>
                <w:sz w:val="24"/>
                <w:szCs w:val="24"/>
                <w:u w:val="none"/>
                <w:lang w:val="en-US" w:eastAsia="zh-CN" w:bidi="ar"/>
              </w:rPr>
              <w:t>1</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A988A2">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依法履行安全生产监督管理职责，对辖区内生产经营单位安全生产状况进行监督检查，对安全生产事故进行应急处置和调查。</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B76F6B">
            <w:pPr>
              <w:keepNext w:val="0"/>
              <w:keepLines w:val="0"/>
              <w:widowControl/>
              <w:suppressLineNumbers w:val="0"/>
              <w:jc w:val="center"/>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旗新闻出版广电局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旗教育体育局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spacing w:val="-20"/>
                <w:w w:val="100"/>
                <w:kern w:val="0"/>
                <w:sz w:val="24"/>
                <w:szCs w:val="24"/>
                <w:u w:val="none"/>
                <w:lang w:val="en-US" w:eastAsia="zh-CN" w:bidi="ar"/>
              </w:rPr>
              <w:t>市生态环境局鄂托克前旗分局</w:t>
            </w:r>
            <w:r>
              <w:rPr>
                <w:rFonts w:hint="eastAsia" w:ascii="仿宋_GB2312" w:hAnsi="宋体" w:eastAsia="仿宋_GB2312" w:cs="仿宋_GB2312"/>
                <w:i w:val="0"/>
                <w:color w:val="auto"/>
                <w:w w:val="88"/>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旗卫生健康委员会</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4A1E2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负责参与特种设备领域发生的生产安全事故调查和应急处置工作。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旗能源局：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负责参与电力行业（含储能电站、风电、光伏发电）、风光电制氢项目、石油天然气长输管道、煤场、煤炭洗选厂、煤炭集装站及煤炭物流园区的安全生产过程中发生的生产安全事故调查和应急处置工作。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负责林业、草原、湿地安全生产过程中发生的生产安全事故调查和应急处置工作。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旗代建中心：</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负责参与政府投资工程及项目建设过程中发生的生产安全事故调查和应急处置工作。</w:t>
            </w:r>
          </w:p>
          <w:p w14:paraId="48FDC0B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旗新闻出版广电局：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负责新闻出版行业发生的生产安全事故调查和应急处置工作。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旗教育体育局：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负责参与教育系统、体育行业、校外培训机构等行业生产安全事故调查处置工作。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负责参与全旗工业、信息化、科技与商务行业、民爆、三大运营商等领域发生的生产安全事故调查处置工作。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负责参与全旗自然资源领域发生的生产安全事故调查和应急处置工作。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市生态环境局鄂托克前旗分局：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负责参与全旗生态环境领域发生的生产安全事故调查和应急处置工作。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负责镇卫生院、医养结合机构、月子中心等场所发生的生产安全事故调查和应急处置工作。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履职保障：1.业务培训；2.资金保障。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D7B42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p>
        </w:tc>
      </w:tr>
      <w:tr w14:paraId="5808CF68">
        <w:tblPrEx>
          <w:shd w:val="clear" w:color="auto" w:fill="auto"/>
          <w:tblCellMar>
            <w:top w:w="0" w:type="dxa"/>
            <w:left w:w="0" w:type="dxa"/>
            <w:bottom w:w="0" w:type="dxa"/>
            <w:right w:w="0" w:type="dxa"/>
          </w:tblCellMar>
        </w:tblPrEx>
        <w:trPr>
          <w:trHeight w:val="3578"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453782">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auto"/>
                <w:kern w:val="2"/>
                <w:sz w:val="24"/>
                <w:szCs w:val="24"/>
                <w:u w:val="none"/>
                <w:lang w:val="en-US" w:eastAsia="zh-CN" w:bidi="ar-SA"/>
              </w:rPr>
            </w:pPr>
            <w:r>
              <w:rPr>
                <w:rFonts w:hint="default" w:ascii="Times New Roman Regular" w:hAnsi="Times New Roman Regular" w:eastAsia="Times New Roman Regular" w:cs="Times New Roman Regular"/>
                <w:i w:val="0"/>
                <w:color w:val="auto"/>
                <w:kern w:val="0"/>
                <w:sz w:val="24"/>
                <w:szCs w:val="24"/>
                <w:u w:val="none"/>
                <w:lang w:val="en-US" w:eastAsia="zh-CN" w:bidi="ar"/>
              </w:rPr>
              <w:t>4</w:t>
            </w:r>
            <w:r>
              <w:rPr>
                <w:rFonts w:hint="eastAsia" w:ascii="Times New Roman Regular" w:hAnsi="Times New Roman Regular" w:eastAsia="Times New Roman Regular" w:cs="Times New Roman Regular"/>
                <w:i w:val="0"/>
                <w:color w:val="auto"/>
                <w:kern w:val="0"/>
                <w:sz w:val="24"/>
                <w:szCs w:val="24"/>
                <w:u w:val="none"/>
                <w:lang w:val="en-US" w:eastAsia="zh-CN" w:bidi="ar"/>
              </w:rPr>
              <w:t>2</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A33A9B">
            <w:pPr>
              <w:keepNext w:val="0"/>
              <w:keepLines w:val="0"/>
              <w:widowControl/>
              <w:suppressLineNumbers w:val="0"/>
              <w:jc w:val="both"/>
              <w:textAlignment w:val="center"/>
              <w:rPr>
                <w:rFonts w:hint="eastAsia" w:ascii="仿宋_GB2312" w:hAnsi="宋体" w:eastAsia="仿宋_GB2312" w:cs="仿宋_GB2312"/>
                <w:i w:val="0"/>
                <w:color w:val="auto"/>
                <w:kern w:val="2"/>
                <w:sz w:val="24"/>
                <w:szCs w:val="24"/>
                <w:u w:val="none"/>
                <w:lang w:val="en-US" w:eastAsia="zh-CN" w:bidi="ar-SA"/>
              </w:rPr>
            </w:pPr>
            <w:r>
              <w:rPr>
                <w:rFonts w:hint="eastAsia" w:ascii="仿宋_GB2312" w:hAnsi="宋体" w:eastAsia="仿宋_GB2312" w:cs="仿宋_GB2312"/>
                <w:i w:val="0"/>
                <w:color w:val="auto"/>
                <w:kern w:val="0"/>
                <w:sz w:val="24"/>
                <w:szCs w:val="24"/>
                <w:u w:val="none"/>
                <w:lang w:val="en-US" w:eastAsia="zh-CN" w:bidi="ar"/>
              </w:rPr>
              <w:t>落实防汛抗旱责任制，开展隐患排查、灾情上报及自然灾害救助工作。</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9F8B7C">
            <w:pPr>
              <w:keepNext w:val="0"/>
              <w:keepLines w:val="0"/>
              <w:widowControl/>
              <w:suppressLineNumbers w:val="0"/>
              <w:jc w:val="center"/>
              <w:textAlignment w:val="center"/>
              <w:rPr>
                <w:rFonts w:hint="eastAsia" w:ascii="仿宋_GB2312" w:hAnsi="宋体" w:eastAsia="仿宋_GB2312" w:cs="仿宋_GB2312"/>
                <w:i w:val="0"/>
                <w:color w:val="auto"/>
                <w:kern w:val="2"/>
                <w:sz w:val="24"/>
                <w:szCs w:val="24"/>
                <w:u w:val="none"/>
                <w:lang w:val="en-US" w:eastAsia="zh-CN" w:bidi="ar-SA"/>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旗发展和改革委员会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旗气象局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5F3C7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1.负责防汛抗旱应急救援工作的统筹协调，组织指导各镇各部门应对洪水、干旱灾害。整合各方资源，指挥调动救援力量开展抢险救灾行动；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2.制定防汛抗旱应急预案，定期组织开展防汛抗旱应急预案演练，提高应急处置能力；</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3.负责防汛抗旱应急物资的调配；</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4.收集、汇总、上报洪涝、干旱灾情信息，及时准确掌握受灾范围、受灾人口、房屋倒塌损坏、农作物受灾等情况，为抢险救灾决策提供依据。</w:t>
            </w:r>
          </w:p>
          <w:p w14:paraId="1E20FD1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旗发展和改革委员会：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负责应急救灾物资的采购、储备、管理。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1.负责水利工程的规划、建设、管理和维护，加强桥洞河道日常巡查，确保水利工程的质量和安全，使其在防汛抗旱中发挥关键作用；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2.在干旱时期，负责统筹调配水资源，合理安排生活、生产和生态用水；</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3.指导农牧业防汛抗旱和救灾生产工作，组织开展农牧业受灾情况的调查统计；</w:t>
            </w:r>
          </w:p>
          <w:p w14:paraId="7A1A726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4.负责农村小型水利设施的维护和管理。</w:t>
            </w:r>
          </w:p>
          <w:p w14:paraId="00A59CB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旗气象局：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1.加强气象监测，及时发布暴雨、高温、干旱等灾害性天气的预报和预警信息；</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2.开展气候分析和气候影响评估，为防汛抗旱工作提供长期的气象资料，通过分析历史气象数据和气候变化趋势，帮助制定防汛抗旱的长期规划和策略。</w:t>
            </w:r>
          </w:p>
          <w:p w14:paraId="1744088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1.负责山体滑坡、泥石流等地质灾害的监测、预警和防治工作；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2.保障抢险救灾通道、临时安置场所等用地需求，用于防汛抗旱物资运输和群众转移；同时，对因灾受损的土地等资源进行评估和修复。</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9CA67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1.开展防汛抗旱宣传教育，做好防汛抗旱期值班值守、信息报送，及时转发极端天气的气象信息；</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2.制定防汛抗旱应急预案，开展应急预案演练；</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3.对辖区内的小型水利工程、排水设施等进行巡查，及时发现并上报安全隐患，配合相关部门进行修复和加固；</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4.组建应急抢险队伍，配备必要的抢险救援设备和物资；</w:t>
            </w:r>
          </w:p>
          <w:p w14:paraId="478DACB6">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5.灾情发生时，组织动员辖区内的嘎查村（社区）村（居）民委员会、企事业单位和广大群众积极参与防汛抗旱工作，及时将受灾群众转移到安全地带，保障群众生命安全；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6.及时统计辖区内的受灾情况，包括受灾人口、农作物受灾面积、房屋损坏情况等，报</w:t>
            </w:r>
          </w:p>
          <w:p w14:paraId="1BD055DB">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上级有关部门；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7.组织开展受灾群众的救助工作，发放救灾物资、安排临时住所等，确保受灾群众的基本生活需求得到满足；</w:t>
            </w:r>
          </w:p>
          <w:p w14:paraId="673A2D8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8.协助自然灾害事故调查评估。</w:t>
            </w:r>
          </w:p>
        </w:tc>
      </w:tr>
      <w:tr w14:paraId="4991D130">
        <w:tblPrEx>
          <w:shd w:val="clear" w:color="auto" w:fill="auto"/>
          <w:tblCellMar>
            <w:top w:w="0" w:type="dxa"/>
            <w:left w:w="0" w:type="dxa"/>
            <w:bottom w:w="0" w:type="dxa"/>
            <w:right w:w="0" w:type="dxa"/>
          </w:tblCellMar>
        </w:tblPrEx>
        <w:trPr>
          <w:trHeight w:val="5283"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C6F010">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auto"/>
                <w:kern w:val="0"/>
                <w:sz w:val="24"/>
                <w:szCs w:val="24"/>
                <w:u w:val="none"/>
                <w:lang w:val="en-US" w:eastAsia="zh-CN" w:bidi="ar"/>
              </w:rPr>
            </w:pPr>
            <w:r>
              <w:rPr>
                <w:rFonts w:hint="default" w:ascii="Times New Roman Regular" w:hAnsi="Times New Roman Regular" w:eastAsia="Times New Roman Regular" w:cs="Times New Roman Regular"/>
                <w:i w:val="0"/>
                <w:color w:val="auto"/>
                <w:kern w:val="0"/>
                <w:sz w:val="24"/>
                <w:szCs w:val="24"/>
                <w:u w:val="none"/>
                <w:lang w:val="en-US" w:eastAsia="zh-CN" w:bidi="ar"/>
              </w:rPr>
              <w:t>4</w:t>
            </w:r>
            <w:r>
              <w:rPr>
                <w:rFonts w:hint="eastAsia" w:ascii="Times New Roman Regular" w:hAnsi="Times New Roman Regular" w:eastAsia="Times New Roman Regular" w:cs="Times New Roman Regular"/>
                <w:i w:val="0"/>
                <w:color w:val="auto"/>
                <w:kern w:val="0"/>
                <w:sz w:val="24"/>
                <w:szCs w:val="24"/>
                <w:u w:val="none"/>
                <w:lang w:val="en-US" w:eastAsia="zh-CN" w:bidi="ar"/>
              </w:rPr>
              <w:t>2</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0EFFBB">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落实防汛抗旱责任制，开展隐患排查、灾情上报及自然灾害救助工作。</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26399D">
            <w:pPr>
              <w:keepNext w:val="0"/>
              <w:keepLines w:val="0"/>
              <w:widowControl/>
              <w:suppressLineNumbers w:val="0"/>
              <w:jc w:val="center"/>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旗发展和改革委员会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旗气象局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8780C2">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1.负责保障防汛抗旱物资运输和抢险救援人员的交通道路畅通；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2.组织调配交通运输工具，用于防汛抗旱物资的运输和人员的转移疏散。</w:t>
            </w:r>
          </w:p>
          <w:p w14:paraId="5143D5B4">
            <w:pPr>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1.负责受灾群众的生活救助工作，在洪涝或干旱灾害导致群众生活困难时，及时发放救灾物资和救助资金；</w:t>
            </w:r>
          </w:p>
          <w:p w14:paraId="460A5590">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2.设立和管理临时安置点，为受灾群众提供基本的生活保障，如住宿、饮食、医疗等服务。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1.负责完善镇区雨污排水设施，指导防御内涝；</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2.负责建筑工地防御预警发布，自建房隐患监测，督促检查物业小区网络。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履职保障：1.技术培训；2.物资保障：及时调配应急物资和运输车辆，用于防汛抗旱物资运输和群众转移。</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9A2E13">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br w:type="textWrapping"/>
            </w:r>
          </w:p>
        </w:tc>
      </w:tr>
      <w:tr w14:paraId="35F35CA3">
        <w:tblPrEx>
          <w:shd w:val="clear" w:color="auto" w:fill="auto"/>
          <w:tblCellMar>
            <w:top w:w="0" w:type="dxa"/>
            <w:left w:w="0" w:type="dxa"/>
            <w:bottom w:w="0" w:type="dxa"/>
            <w:right w:w="0" w:type="dxa"/>
          </w:tblCellMar>
        </w:tblPrEx>
        <w:trPr>
          <w:trHeight w:val="2847"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D669BC">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43</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0F252">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燃气安全监督检查。</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74AD88">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旗交管大队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旗气象局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旗教育体育局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旗文化和旅游局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旗机关事务服务中心</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9025A">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旗住房和城乡建设局：</w:t>
            </w:r>
          </w:p>
          <w:p w14:paraId="10B9108E">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1.负责燃气安全综合监管职责，加强对燃气经营企业经营环节的指导监督，督促燃气经营企业落实全员安全生产责任制，建立健全安全生产制度；</w:t>
            </w:r>
          </w:p>
          <w:p w14:paraId="79566468">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2.负责督促燃气经营企业生产经营环节落实安全风险分级管控制度和事故隐患排查治理制度，对燃气经营企业的安全生产和事故隐患整改情况进行监督检查；</w:t>
            </w:r>
          </w:p>
          <w:p w14:paraId="03F2B858">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3.负责督促燃气经营企业严格落实燃气设施保护方案，对燃气设施保护范围内的敷设管道、打桩、顶进、挖掘、钻探等建设项目加强巡检排查；</w:t>
            </w:r>
          </w:p>
          <w:p w14:paraId="17755F4D">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4.负责组织制定燃气事故应急救援预案，对燃气经营单位的事故应急救援预案的制定和演练进行指导和监督；</w:t>
            </w:r>
          </w:p>
          <w:p w14:paraId="43E4D062">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5.负责指导监督燃气经营企业开展安全风险培训教育和应急处置技能培训；</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FBAEE2">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sz w:val="24"/>
                <w:szCs w:val="24"/>
                <w:u w:val="none"/>
              </w:rPr>
              <w:t>1.督促企业落实燃气安全主体责任；</w:t>
            </w:r>
          </w:p>
          <w:p w14:paraId="3D5DEAF1">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sz w:val="24"/>
                <w:szCs w:val="24"/>
                <w:u w:val="none"/>
              </w:rPr>
              <w:t>2.协助主管部门对辖区内燃气供应站、燃气用户及镇区燃气管道开展燃气安全隐患排查工作；</w:t>
            </w:r>
          </w:p>
          <w:p w14:paraId="46445B45">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sz w:val="24"/>
                <w:szCs w:val="24"/>
                <w:u w:val="none"/>
              </w:rPr>
              <w:t>3.对于发现的安全隐患，及时督促整改；</w:t>
            </w:r>
          </w:p>
          <w:p w14:paraId="1B3D3745">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sz w:val="24"/>
                <w:szCs w:val="24"/>
                <w:u w:val="none"/>
              </w:rPr>
              <w:t>4.开展联合检查。</w:t>
            </w:r>
          </w:p>
        </w:tc>
      </w:tr>
      <w:tr w14:paraId="775203A6">
        <w:tblPrEx>
          <w:shd w:val="clear" w:color="auto" w:fill="auto"/>
          <w:tblCellMar>
            <w:top w:w="0" w:type="dxa"/>
            <w:left w:w="0" w:type="dxa"/>
            <w:bottom w:w="0" w:type="dxa"/>
            <w:right w:w="0" w:type="dxa"/>
          </w:tblCellMar>
        </w:tblPrEx>
        <w:trPr>
          <w:trHeight w:val="562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E87689">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auto"/>
                <w:kern w:val="0"/>
                <w:sz w:val="24"/>
                <w:szCs w:val="24"/>
                <w:u w:val="none"/>
                <w:lang w:val="en-US" w:eastAsia="zh-CN" w:bidi="ar"/>
              </w:rPr>
            </w:pPr>
            <w:r>
              <w:rPr>
                <w:rFonts w:hint="eastAsia" w:ascii="Times New Roman Regular" w:hAnsi="Times New Roman Regular" w:eastAsia="Times New Roman Regular" w:cs="Times New Roman Regular"/>
                <w:i w:val="0"/>
                <w:color w:val="auto"/>
                <w:kern w:val="0"/>
                <w:sz w:val="24"/>
                <w:szCs w:val="24"/>
                <w:u w:val="none"/>
                <w:lang w:val="en-US" w:eastAsia="zh-CN" w:bidi="ar"/>
              </w:rPr>
              <w:t>43</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740784">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燃气安全监督检查。</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285A4">
            <w:pPr>
              <w:keepNext w:val="0"/>
              <w:keepLines w:val="0"/>
              <w:widowControl/>
              <w:suppressLineNumbers w:val="0"/>
              <w:jc w:val="center"/>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旗交管大队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旗气象局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旗教育体育局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旗文化和旅游局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旗机关事务服务中心</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62C485">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6.负责督促燃气经营企业开展定期安全检查，与用户签订供用气合同，建立用户信息档案；</w:t>
            </w:r>
          </w:p>
          <w:p w14:paraId="0D501C58">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7.负责流动商贩燃气使用安全监督管理；</w:t>
            </w:r>
          </w:p>
          <w:p w14:paraId="1F90CF7F">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8.优化处罚流程，依法依规查处相关部门移送的问题线索，依法从严实施处罚；</w:t>
            </w:r>
          </w:p>
          <w:p w14:paraId="318EB4EB">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9.负责燃气安全相关公共安全管理；</w:t>
            </w:r>
          </w:p>
          <w:p w14:paraId="5C3BAFC4">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10.负责组织调查处理燃气安全生产事故；</w:t>
            </w:r>
          </w:p>
          <w:p w14:paraId="456E2024">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11.负责城镇燃气重大危险源的安全监督管理工作；</w:t>
            </w:r>
          </w:p>
          <w:p w14:paraId="51066D3A">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12.负责燃气经营企业事故应急预案备案工作；</w:t>
            </w:r>
          </w:p>
          <w:p w14:paraId="5CF79EA2">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13.对城镇建（构）筑物占压燃气设施的整治处理。</w:t>
            </w:r>
          </w:p>
          <w:p w14:paraId="3CD780E7">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旗市场监督管理局：</w:t>
            </w:r>
          </w:p>
          <w:p w14:paraId="240201B8">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1.负责燃气充装单位的充装许可工作，对燃气气瓶充装作业人员进行考核和资格认定；</w:t>
            </w:r>
          </w:p>
          <w:p w14:paraId="4C809E4F">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2.负责对燃气充装单位充装环节、特种设备检验机构的监督管理；</w:t>
            </w:r>
          </w:p>
          <w:p w14:paraId="7740B5EC">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3.负责燃气相关特种设备的使用登记工作，加强瓶装燃气充装单位对气瓶进行定期检验和报废处理管理，负责生产、销售环节燃气燃烧器具和燃气相关产品质量监管，依法处理制售假冒伪劣产品的违法行为，对不合格产品追踪溯源，实施源头治理；</w:t>
            </w:r>
          </w:p>
          <w:p w14:paraId="6CB72E11">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4.负责查处市场无照经营违法行为。</w:t>
            </w:r>
          </w:p>
          <w:p w14:paraId="5CAA3A03">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旗交通运输局：</w:t>
            </w:r>
          </w:p>
          <w:p w14:paraId="58838B54">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负责交通工程施工范围内燃气设施的安全监管，防止工程施工对燃气设施的破坏。</w:t>
            </w:r>
          </w:p>
          <w:p w14:paraId="0EF8C891">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旗工信和科技局：</w:t>
            </w:r>
          </w:p>
          <w:p w14:paraId="1BC8D853">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1.负责餐饮单位燃气用户安全使用的监督检查，督促餐饮单位规范安装和使用可燃气体报警装置、切断装置和燃气专用连接管等安全防范装置；</w:t>
            </w:r>
          </w:p>
          <w:p w14:paraId="76A9C817">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2.负责督促餐饮行业建立健全燃气安全生产管理制度和从业人员教育培训制度，开展燃气使用安全自查工作，落实安全防范措施，消除安全隐患；</w:t>
            </w:r>
          </w:p>
          <w:p w14:paraId="6E2801FD">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3.负责督促餐饮行业用户与燃气经营企业签订供用气合同。</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1777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p>
        </w:tc>
      </w:tr>
      <w:tr w14:paraId="5DFD31F8">
        <w:tblPrEx>
          <w:shd w:val="clear" w:color="auto" w:fill="auto"/>
          <w:tblCellMar>
            <w:top w:w="0" w:type="dxa"/>
            <w:left w:w="0" w:type="dxa"/>
            <w:bottom w:w="0" w:type="dxa"/>
            <w:right w:w="0" w:type="dxa"/>
          </w:tblCellMar>
        </w:tblPrEx>
        <w:trPr>
          <w:trHeight w:val="10061"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F9695">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auto"/>
                <w:kern w:val="0"/>
                <w:sz w:val="24"/>
                <w:szCs w:val="24"/>
                <w:u w:val="none"/>
                <w:lang w:val="en-US" w:eastAsia="zh-CN" w:bidi="ar"/>
              </w:rPr>
            </w:pPr>
            <w:r>
              <w:rPr>
                <w:rFonts w:hint="eastAsia" w:ascii="Times New Roman Regular" w:hAnsi="Times New Roman Regular" w:eastAsia="Times New Roman Regular" w:cs="Times New Roman Regular"/>
                <w:i w:val="0"/>
                <w:color w:val="auto"/>
                <w:kern w:val="0"/>
                <w:sz w:val="24"/>
                <w:szCs w:val="24"/>
                <w:u w:val="none"/>
                <w:lang w:val="en-US" w:eastAsia="zh-CN" w:bidi="ar"/>
              </w:rPr>
              <w:t>43</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335D0">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燃气安全监督检查。</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F9360">
            <w:pPr>
              <w:keepNext w:val="0"/>
              <w:keepLines w:val="0"/>
              <w:widowControl/>
              <w:suppressLineNumbers w:val="0"/>
              <w:jc w:val="center"/>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旗交管大队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旗气象局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旗教育体育局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旗文化和旅游局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旗机关事务服务中心</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E67DF8">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旗公安局：</w:t>
            </w:r>
          </w:p>
          <w:p w14:paraId="58D95D45">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负责对非法经营燃气的“黑窝点”、对非法充装和销售“黑气瓶”的监督检查。</w:t>
            </w:r>
          </w:p>
          <w:p w14:paraId="5D6897BD">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旗交管大队：</w:t>
            </w:r>
          </w:p>
          <w:p w14:paraId="6E18501C">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1.负责燃气道路运输企业、驾驶人员、押运人员的资质、资格认定和运输车辆的安全监督管理，依法查处未取得危险货物道路运输许可擅自从事燃气运输的行为；</w:t>
            </w:r>
          </w:p>
          <w:p w14:paraId="2D3A9116">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2.负责牵头做好燃气道路运输事故应急救援工作。</w:t>
            </w:r>
          </w:p>
          <w:p w14:paraId="4C1C6239">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旗消防救援大队</w:t>
            </w:r>
          </w:p>
          <w:p w14:paraId="7195B861">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1.负责对燃气经营企业和用气单位依法开展消防监督检查，督促落实消防安全责任制，组织开展燃气事故应急救援；</w:t>
            </w:r>
          </w:p>
          <w:p w14:paraId="72F53EC0">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2.负责对餐饮用气单位的疏散通道、安全出口畅通情况，电源火源管理方面存在的突出问题隐患加强执法检查，督促落实整改责任；</w:t>
            </w:r>
          </w:p>
          <w:p w14:paraId="64D751F8">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3.组织开展燃气经营企业和用气单位消防安全教育培训。</w:t>
            </w:r>
          </w:p>
          <w:p w14:paraId="5750EA0B">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旗气象局：</w:t>
            </w:r>
          </w:p>
          <w:p w14:paraId="114FA15E">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1.负责燃气经营、储存建设项目防雷装置的设计审核和竣工验收；</w:t>
            </w:r>
          </w:p>
          <w:p w14:paraId="32D6E06C">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2.负责依法对燃气经营、储存场所进行防雷安全监督管理。</w:t>
            </w:r>
          </w:p>
          <w:p w14:paraId="1D76C6A1">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旗自然资源局：</w:t>
            </w:r>
          </w:p>
          <w:p w14:paraId="6EF29175">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负责统筹保障燃气用地，开展对违反国土空间规划占用燃气设施用地情况的认定。</w:t>
            </w:r>
          </w:p>
          <w:p w14:paraId="632DE4A8">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旗应急管理局：</w:t>
            </w:r>
          </w:p>
          <w:p w14:paraId="59ED3E62">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督促相关部门履行安全监管职责。</w:t>
            </w:r>
          </w:p>
          <w:p w14:paraId="3AF564CA">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旗教育体育局、文化和旅游局、卫生健康委员会、民政局、机关事务服务中心等部门：</w:t>
            </w:r>
          </w:p>
          <w:p w14:paraId="07411E08">
            <w:pPr>
              <w:keepNext w:val="0"/>
              <w:keepLines w:val="0"/>
              <w:pageBreakBefore w:val="0"/>
              <w:kinsoku/>
              <w:wordWrap/>
              <w:overflowPunct/>
              <w:topLinePunct w:val="0"/>
              <w:autoSpaceDE/>
              <w:autoSpaceDN/>
              <w:bidi w:val="0"/>
              <w:adjustRightInd/>
              <w:snapToGrid/>
              <w:spacing w:line="280" w:lineRule="exact"/>
              <w:jc w:val="both"/>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负责对本行业、本领域的燃气使用安全进行监督检查，督促本行业、本领域的燃气用户与燃气经营企业签订供用气合同。</w:t>
            </w:r>
          </w:p>
          <w:p w14:paraId="4CE95F7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履职保障：业务指导。</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03BCC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p>
        </w:tc>
      </w:tr>
      <w:tr w14:paraId="15D7BE69">
        <w:tblPrEx>
          <w:shd w:val="clear" w:color="auto" w:fill="auto"/>
          <w:tblCellMar>
            <w:top w:w="0" w:type="dxa"/>
            <w:left w:w="0" w:type="dxa"/>
            <w:bottom w:w="0" w:type="dxa"/>
            <w:right w:w="0" w:type="dxa"/>
          </w:tblCellMar>
        </w:tblPrEx>
        <w:trPr>
          <w:trHeight w:val="7838"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C215F8">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44</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6244C2">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辖区内校园及其周边安全监督检查。</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EECBF">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旗教育体育局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旗交管大队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旗消防救援大队</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FDF3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旗教育体育局：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指导校园落实“党政同责、一岗双责”工作责任制，明确学校各环节、各岗位安全工作职责。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做好食物中毒、流行病学调查。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指导督促教体系统加强学校实验室危险 化学品安全监督管理。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加强学校集中用餐食品安全监督管理，依法查处涉及学校的食品安全违法行为；依法会同有关部门开展学校食品安全事故调查处理。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排查校园内及校园周围安全隐患。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旗交管大队：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加强交通安全教育管理，每年寒暑假开学之际，要深入校园，开展有针对性的道路交通安全宣传。</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建立消防安全日常巡查制度，定期对学校周边和内部进行消防安全巡查，及时发现并处理火灾隐患。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履职保障：业务培训。</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4ABDA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1.协助开展学校安全宣传教育；</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2.制定校园周边安全突发事件应急预案，出现突发事件应及时上报旗相关部门，开展救援；</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3.协助做好校园周边安全隐患整治工作，对于发现的安全隐患，督促整改；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4.对于拒不整改的，及时上报行业主管部门；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5.协助上级部门开展联合检查。</w:t>
            </w:r>
          </w:p>
        </w:tc>
      </w:tr>
      <w:tr w14:paraId="2CFCDDFB">
        <w:tblPrEx>
          <w:shd w:val="clear" w:color="auto" w:fill="auto"/>
          <w:tblCellMar>
            <w:top w:w="0" w:type="dxa"/>
            <w:left w:w="0" w:type="dxa"/>
            <w:bottom w:w="0" w:type="dxa"/>
            <w:right w:w="0" w:type="dxa"/>
          </w:tblCellMar>
        </w:tblPrEx>
        <w:trPr>
          <w:trHeight w:val="2281"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0E321A">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45</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6F118">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农业防灾减灾、灾情救助。</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2E0C1">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97FC1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1.统筹协调农业防灾减灾全面工作，制定救灾措施；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2.做好农业生产救灾资金下拨、使用和监督。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履职保障：1.业务指导；2.物资保障。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34A2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1.做好辖区内农业防灾减灾工作，落实救灾举措；</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2.配合做好农业生产救灾资金申请、公示、发放；</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3.配合做好种子、农药、化肥、兽药、饲草饲料等救灾物资的发放。</w:t>
            </w:r>
          </w:p>
        </w:tc>
      </w:tr>
      <w:tr w14:paraId="5D52FF56">
        <w:tblPrEx>
          <w:tblCellMar>
            <w:top w:w="0" w:type="dxa"/>
            <w:left w:w="0" w:type="dxa"/>
            <w:bottom w:w="0" w:type="dxa"/>
            <w:right w:w="0" w:type="dxa"/>
          </w:tblCellMar>
        </w:tblPrEx>
        <w:trPr>
          <w:trHeight w:val="5689"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7FCA6">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46</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B8A231">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道路交通安全监督管理。</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C6E0F">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旗交管大队</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05769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1.指导道路营运性运输安全生产监管、交通运输执法；</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2.全面深入推进“四好农村路”建设，实施农村公路安全生命防护工程；</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3.统筹协调农村道路隐患排查和治理，对违法行为开展全面整治；</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4.组织实施农村道路精细化管理项目，提升道路安全水平。</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旗交管大队：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1.组织开展道路交通安全执法；</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2.开展交通事故调查，研判事故暴露出的系统性突出问题和短板不足，强化事故防范和整改措施落实。</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履职保障：1.业务培训；2.装备支持。</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2BF6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1.督促各嘎查村（社区）履行交通安全宣传、劝导义务；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2.常态化开展隐患排查，发现问题上报并整改。</w:t>
            </w:r>
          </w:p>
        </w:tc>
      </w:tr>
      <w:tr w14:paraId="08AAE0F2">
        <w:tblPrEx>
          <w:shd w:val="clear" w:color="auto" w:fill="auto"/>
          <w:tblCellMar>
            <w:top w:w="0" w:type="dxa"/>
            <w:left w:w="0" w:type="dxa"/>
            <w:bottom w:w="0" w:type="dxa"/>
            <w:right w:w="0" w:type="dxa"/>
          </w:tblCellMar>
        </w:tblPrEx>
        <w:trPr>
          <w:trHeight w:val="4579"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5620CD">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47</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722436">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辖区内食品安全包保工作。</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7B395F">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旗市场监督管理局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A17A8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1.加强业务培训指导，编制包保工作具体操作手册；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2.市场监督管理所与镇村包保干部结对开展日常监督检查；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3.对镇上报的问题事项和自查发现的问题进行实地调查处置。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履职保障：1.业务培训；2.专业人员力量下沉；3.建立食品安全举报奖惩激励机制；4.提供C、D级详细操作手册。</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CFB1C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1.对照《鄂尔多斯市优化食品安全属地管理责任工作机制实施方案》落实并指导镇村两级督导任务清单；</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2.建立C、D级包保干部台账，在国务院食安办食品安全包保系统“食安督”更新维护人员信息；</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3.发现食品安全隐患问题及时上报；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4.开展食品安全的宣传教育；</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5.开展反食品浪费宣传教育和科学普及活动。</w:t>
            </w:r>
          </w:p>
        </w:tc>
      </w:tr>
      <w:tr w14:paraId="0D3ABC07">
        <w:tblPrEx>
          <w:shd w:val="clear" w:color="auto" w:fill="auto"/>
          <w:tblCellMar>
            <w:top w:w="0" w:type="dxa"/>
            <w:left w:w="0" w:type="dxa"/>
            <w:bottom w:w="0" w:type="dxa"/>
            <w:right w:w="0" w:type="dxa"/>
          </w:tblCellMar>
        </w:tblPrEx>
        <w:trPr>
          <w:trHeight w:val="332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9E45AA">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48</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B20278">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农村牧区集体聚餐食品安全风险防控。</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85E48C">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旗市场监督管理局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F222F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1.对农村集体聚餐的举办者和承办者上报的内容进行监督检查；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2.结合农村集体聚餐的实际，出台管理制度，落实管理责任，采取有效措施，提升安全水平；</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3.明确农村集体聚餐的环境与设施设备、食品采购和贮存、加工过程控制、食品留样、加工制作人员体检和培训等基本要求，督促指导农村集体聚餐承办者加强对加工制作人员的食品安全知识培训；</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4.针对上报的集中聚餐信息进行督导，强化对农村集体聚餐的食品安全管理；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5.做好嘎查村（社区）安全信息员、协管员的培训；</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6.协调相关行业主管部门做好风险防控工作。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履职保障:1.提供食品、药品安全协管员、信息员专项经费；2.业务指导。</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B423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1.宣传食品安全风险防控工作的重要意义和有关政策、食品安全知识；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2.督促嘎查村（社区）食品安全信息员、协管员认真履职；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3.对发现疑似食品安全事故，及时上报。</w:t>
            </w:r>
          </w:p>
        </w:tc>
      </w:tr>
      <w:tr w14:paraId="09821756">
        <w:tblPrEx>
          <w:shd w:val="clear" w:color="auto" w:fill="auto"/>
          <w:tblCellMar>
            <w:top w:w="0" w:type="dxa"/>
            <w:left w:w="0" w:type="dxa"/>
            <w:bottom w:w="0" w:type="dxa"/>
            <w:right w:w="0" w:type="dxa"/>
          </w:tblCellMar>
        </w:tblPrEx>
        <w:trPr>
          <w:trHeight w:val="600" w:hRule="atLeast"/>
        </w:trPr>
        <w:tc>
          <w:tcPr>
            <w:tcW w:w="1541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BABFE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黑体" w:hAnsi="宋体" w:eastAsia="黑体" w:cs="黑体"/>
                <w:i w:val="0"/>
                <w:color w:val="auto"/>
                <w:sz w:val="28"/>
                <w:szCs w:val="28"/>
                <w:u w:val="none"/>
              </w:rPr>
            </w:pPr>
            <w:r>
              <w:rPr>
                <w:rFonts w:hint="eastAsia" w:ascii="黑体" w:hAnsi="宋体" w:eastAsia="黑体" w:cs="黑体"/>
                <w:i w:val="0"/>
                <w:color w:val="auto"/>
                <w:kern w:val="0"/>
                <w:sz w:val="28"/>
                <w:szCs w:val="28"/>
                <w:u w:val="none"/>
                <w:lang w:val="en-US" w:eastAsia="zh-CN" w:bidi="ar"/>
              </w:rPr>
              <w:t>五、乡村振兴（</w:t>
            </w:r>
            <w:r>
              <w:rPr>
                <w:rFonts w:hint="default" w:ascii="黑体" w:hAnsi="宋体" w:eastAsia="黑体" w:cs="黑体"/>
                <w:i w:val="0"/>
                <w:color w:val="000000"/>
                <w:kern w:val="0"/>
                <w:sz w:val="28"/>
                <w:szCs w:val="28"/>
                <w:u w:val="none"/>
                <w:lang w:val="en-US" w:eastAsia="zh-CN" w:bidi="ar"/>
              </w:rPr>
              <w:t>1</w:t>
            </w:r>
            <w:r>
              <w:rPr>
                <w:rFonts w:hint="eastAsia" w:ascii="黑体" w:hAnsi="宋体" w:eastAsia="黑体" w:cs="黑体"/>
                <w:i w:val="0"/>
                <w:color w:val="000000"/>
                <w:kern w:val="0"/>
                <w:sz w:val="28"/>
                <w:szCs w:val="28"/>
                <w:u w:val="none"/>
                <w:lang w:val="en-US" w:eastAsia="zh-CN" w:bidi="ar"/>
              </w:rPr>
              <w:t>4</w:t>
            </w:r>
            <w:r>
              <w:rPr>
                <w:rFonts w:hint="eastAsia" w:ascii="黑体" w:hAnsi="宋体" w:eastAsia="黑体" w:cs="黑体"/>
                <w:i w:val="0"/>
                <w:color w:val="auto"/>
                <w:kern w:val="0"/>
                <w:sz w:val="28"/>
                <w:szCs w:val="28"/>
                <w:u w:val="none"/>
                <w:lang w:val="en-US" w:eastAsia="zh-CN" w:bidi="ar"/>
              </w:rPr>
              <w:t>项）</w:t>
            </w:r>
          </w:p>
        </w:tc>
      </w:tr>
      <w:tr w14:paraId="36688049">
        <w:tblPrEx>
          <w:tblCellMar>
            <w:top w:w="0" w:type="dxa"/>
            <w:left w:w="0" w:type="dxa"/>
            <w:bottom w:w="0" w:type="dxa"/>
            <w:right w:w="0" w:type="dxa"/>
          </w:tblCellMar>
        </w:tblPrEx>
        <w:trPr>
          <w:trHeight w:val="2498"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ABDC4">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auto"/>
                <w:kern w:val="0"/>
                <w:sz w:val="24"/>
                <w:szCs w:val="24"/>
                <w:u w:val="none"/>
                <w:lang w:val="en-US" w:eastAsia="zh-CN" w:bidi="ar"/>
              </w:rPr>
            </w:pPr>
            <w:r>
              <w:rPr>
                <w:rFonts w:hint="eastAsia" w:ascii="Times New Roman Regular" w:hAnsi="Times New Roman Regular" w:eastAsia="Times New Roman Regular" w:cs="Times New Roman Regular"/>
                <w:i w:val="0"/>
                <w:color w:val="auto"/>
                <w:kern w:val="0"/>
                <w:sz w:val="24"/>
                <w:szCs w:val="24"/>
                <w:u w:val="none"/>
                <w:lang w:val="en-US" w:eastAsia="zh-CN" w:bidi="ar"/>
              </w:rPr>
              <w:t>49</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585D29">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高标准农田建设与管护。</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99C20">
            <w:pPr>
              <w:keepNext w:val="0"/>
              <w:keepLines w:val="0"/>
              <w:widowControl/>
              <w:suppressLineNumbers w:val="0"/>
              <w:jc w:val="center"/>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旗公共资源交易中心</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旗发展和改革委员会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旗财政局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6C8B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1.配合公共资源交易中心规范招投标程序；</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2.做好高标准农田建设项目前期工作，包括项目储备、项目申报、地块确认、勘察设计；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3.做好项目资金管理工作，管理共管账户，对施工单位进行支付审查材料审核，做到应拨尽拨；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4.做好高标准农田建设技术支撑服务，负责高标准农田建设项目区的取水许可手续，保障建设质量；</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5.做好分阶段上图入库工作；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6.项目建成验收后，将工程和资产移交到嘎查村，并由镇进行监管。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旗公共资源交易中心：</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规范开展高标准农田建设项目的招标投标。</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旗发展和改革委员会：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向上争取资金用于高标准农田建设。</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DEA70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1.征求嘎查村（社区）村（居）民意愿，确定符合政策实施条件的耕地位置范围面积并汇总上报；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2.在高标准农田项目建设过程中，积极协调农牧民配合，并做好矛盾纠纷的协调处理；</w:t>
            </w:r>
          </w:p>
          <w:p w14:paraId="02FC325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3.项目移交后指导各嘎查村（社区）负责高标准农田建设项目的后续管护，发现问题及时上报。</w:t>
            </w:r>
          </w:p>
        </w:tc>
      </w:tr>
      <w:tr w14:paraId="2FB15DBD">
        <w:tblPrEx>
          <w:tblCellMar>
            <w:top w:w="0" w:type="dxa"/>
            <w:left w:w="0" w:type="dxa"/>
            <w:bottom w:w="0" w:type="dxa"/>
            <w:right w:w="0" w:type="dxa"/>
          </w:tblCellMar>
        </w:tblPrEx>
        <w:trPr>
          <w:trHeight w:val="2498"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91AB18">
            <w:pPr>
              <w:keepNext w:val="0"/>
              <w:keepLines w:val="0"/>
              <w:widowControl/>
              <w:suppressLineNumbers w:val="0"/>
              <w:jc w:val="center"/>
              <w:textAlignment w:val="center"/>
              <w:rPr>
                <w:rFonts w:hint="eastAsia" w:ascii="Times New Roman Regular" w:hAnsi="Times New Roman Regular" w:eastAsia="Times New Roman Regular" w:cs="Times New Roman Regular"/>
                <w:i w:val="0"/>
                <w:color w:val="auto"/>
                <w:kern w:val="0"/>
                <w:sz w:val="24"/>
                <w:szCs w:val="24"/>
                <w:u w:val="none"/>
                <w:lang w:val="en-US" w:eastAsia="zh-CN" w:bidi="ar"/>
              </w:rPr>
            </w:pPr>
            <w:r>
              <w:rPr>
                <w:rFonts w:hint="eastAsia" w:ascii="Times New Roman Regular" w:hAnsi="Times New Roman Regular" w:eastAsia="Times New Roman Regular" w:cs="Times New Roman Regular"/>
                <w:i w:val="0"/>
                <w:color w:val="auto"/>
                <w:kern w:val="0"/>
                <w:sz w:val="24"/>
                <w:szCs w:val="24"/>
                <w:u w:val="none"/>
                <w:lang w:val="en-US" w:eastAsia="zh-CN" w:bidi="ar"/>
              </w:rPr>
              <w:t>49</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576F0">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高标准农田建设与管护。</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B9883">
            <w:pPr>
              <w:keepNext w:val="0"/>
              <w:keepLines w:val="0"/>
              <w:widowControl/>
              <w:suppressLineNumbers w:val="0"/>
              <w:jc w:val="center"/>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旗公共资源交易中心</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旗发展和改革委员会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旗财政局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B714D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Times New Roman Regular" w:hAnsi="Times New Roman Regular" w:eastAsia="Times New Roman Regular" w:cs="Times New Roman Regular"/>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配合农牧和水利局提供耕地及基本农田数据。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负责高标准农田工程建设林地和草地的用地审核及高标准农田防护林带建设技术的指导工作。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旗财政局：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按程序做好资金拨付工作。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履职保障：1.业务培训；2.现场指导；3.资金保障。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BB77E6">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Times New Roman Regular" w:hAnsi="Times New Roman Regular" w:eastAsia="Times New Roman Regular" w:cs="Times New Roman Regular"/>
                <w:i w:val="0"/>
                <w:color w:val="auto"/>
                <w:kern w:val="0"/>
                <w:sz w:val="24"/>
                <w:szCs w:val="24"/>
                <w:u w:val="none"/>
                <w:lang w:val="en-US" w:eastAsia="zh-CN" w:bidi="ar"/>
              </w:rPr>
            </w:pPr>
          </w:p>
        </w:tc>
      </w:tr>
      <w:tr w14:paraId="34B041D8">
        <w:tblPrEx>
          <w:shd w:val="clear" w:color="auto" w:fill="auto"/>
          <w:tblCellMar>
            <w:top w:w="0" w:type="dxa"/>
            <w:left w:w="0" w:type="dxa"/>
            <w:bottom w:w="0" w:type="dxa"/>
            <w:right w:w="0" w:type="dxa"/>
          </w:tblCellMar>
        </w:tblPrEx>
        <w:trPr>
          <w:trHeight w:val="90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7334D3">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auto"/>
                <w:sz w:val="24"/>
                <w:szCs w:val="24"/>
                <w:u w:val="none"/>
                <w:lang w:val="en-US"/>
              </w:rPr>
            </w:pPr>
            <w:r>
              <w:rPr>
                <w:rFonts w:hint="default" w:ascii="Times New Roman Regular" w:hAnsi="Times New Roman Regular" w:eastAsia="Times New Roman Regular" w:cs="Times New Roman Regular"/>
                <w:i w:val="0"/>
                <w:color w:val="auto"/>
                <w:kern w:val="0"/>
                <w:sz w:val="24"/>
                <w:szCs w:val="24"/>
                <w:u w:val="none"/>
                <w:lang w:val="en-US" w:eastAsia="zh-CN" w:bidi="ar"/>
              </w:rPr>
              <w:t>5</w:t>
            </w:r>
            <w:r>
              <w:rPr>
                <w:rFonts w:hint="eastAsia" w:ascii="Times New Roman Regular" w:hAnsi="Times New Roman Regular" w:eastAsia="Times New Roman Regular" w:cs="Times New Roman Regular"/>
                <w:i w:val="0"/>
                <w:color w:val="auto"/>
                <w:kern w:val="0"/>
                <w:sz w:val="24"/>
                <w:szCs w:val="24"/>
                <w:u w:val="none"/>
                <w:lang w:val="en-US" w:eastAsia="zh-CN" w:bidi="ar"/>
              </w:rPr>
              <w:t>0</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BB9A8C">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建设节水型农业相关工作。</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0C14AA">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1D506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负责本行政区域内农业节水灌溉的监督管理。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履职保障：1.业务指导；2.资金保障。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1F867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1.节水型农业知识宣传工作；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2.推广、建设节水灌溉设施；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3.推广节水农业技术，组织农牧户参加培训。</w:t>
            </w:r>
          </w:p>
        </w:tc>
      </w:tr>
      <w:tr w14:paraId="3C751B85">
        <w:tblPrEx>
          <w:tblCellMar>
            <w:top w:w="0" w:type="dxa"/>
            <w:left w:w="0" w:type="dxa"/>
            <w:bottom w:w="0" w:type="dxa"/>
            <w:right w:w="0" w:type="dxa"/>
          </w:tblCellMar>
        </w:tblPrEx>
        <w:trPr>
          <w:trHeight w:val="1553"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5BAD02">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51</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C2832">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农村牧区饮用水水源工程建设和管护。</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3B8459">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8F76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1.根据实际需要，实施饮用水水源工程建设；</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2.工程验收后，将产权移交至使用单位；</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3.对各镇上报的工程问题进行评估和维修。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履职保障：1.业务指导；2.资金保障。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89BFB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1.提出用水需求并上报；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2.项目选址的初选和施工期间的协调；</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3.做好饮用水水源工程日常巡查，发现问题及时上报；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4.开展产权移交后的运行管护。（简单的日常养护）</w:t>
            </w:r>
          </w:p>
        </w:tc>
      </w:tr>
      <w:tr w14:paraId="6095BA33">
        <w:tblPrEx>
          <w:tblCellMar>
            <w:top w:w="0" w:type="dxa"/>
            <w:left w:w="0" w:type="dxa"/>
            <w:bottom w:w="0" w:type="dxa"/>
            <w:right w:w="0" w:type="dxa"/>
          </w:tblCellMar>
        </w:tblPrEx>
        <w:trPr>
          <w:trHeight w:val="2338"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D52063">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52</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1A1151">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水窖工程的新建维修。</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FF8AF2">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CFC6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1.收集各嘎查村（社区）建设意愿；</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2.进行可行性评估；</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3.开展水窖工程建设；</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4.工程验收后，将产权移交至使用单位。</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履职保障：1.业务指导；2.资金保障。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E0A7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1.征求收集各嘎查村（社区）建设意愿并上报；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2.协助调解建设过程中的矛盾纠纷。</w:t>
            </w:r>
          </w:p>
        </w:tc>
      </w:tr>
      <w:tr w14:paraId="3A9E5A4B">
        <w:tblPrEx>
          <w:tblCellMar>
            <w:top w:w="0" w:type="dxa"/>
            <w:left w:w="0" w:type="dxa"/>
            <w:bottom w:w="0" w:type="dxa"/>
            <w:right w:w="0" w:type="dxa"/>
          </w:tblCellMar>
        </w:tblPrEx>
        <w:trPr>
          <w:trHeight w:val="1957"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40787">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53</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F5270A">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敖勒召其镇地下水超采（水生态）综合治理工程。</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3CCDD">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7D5E2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1.开展工程建设；</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2.工程建成后的运营维护。</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履职保障：资金保障。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449ED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项目初步选址上报及施工期间的日常问题协调。</w:t>
            </w:r>
          </w:p>
        </w:tc>
      </w:tr>
      <w:tr w14:paraId="2BD2BF92">
        <w:tblPrEx>
          <w:shd w:val="clear" w:color="auto" w:fill="auto"/>
          <w:tblCellMar>
            <w:top w:w="0" w:type="dxa"/>
            <w:left w:w="0" w:type="dxa"/>
            <w:bottom w:w="0" w:type="dxa"/>
            <w:right w:w="0" w:type="dxa"/>
          </w:tblCellMar>
        </w:tblPrEx>
        <w:trPr>
          <w:trHeight w:val="2985"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024AE">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54</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F39048">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农村电网改造。</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094FFF">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旗能源局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47D60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旗能源局：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1.负责审批农村电网改造工程项目；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2.负责协调旗供电公司对各镇摸排上报的用电需求进行综合分析，安排改造、新增计划；</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3.负责协调旗供电公司推动落实农网改造用电项目。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履职保障：1.业务指导；2.政策支持。</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50FD0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1.统计辖区内用电、变压器增扩容需求，并上报行业部门；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2.协调解决项目施工过程中的矛盾纠纷。</w:t>
            </w:r>
          </w:p>
        </w:tc>
      </w:tr>
      <w:tr w14:paraId="124C5DC8">
        <w:tblPrEx>
          <w:shd w:val="clear" w:color="auto" w:fill="auto"/>
          <w:tblCellMar>
            <w:top w:w="0" w:type="dxa"/>
            <w:left w:w="0" w:type="dxa"/>
            <w:bottom w:w="0" w:type="dxa"/>
            <w:right w:w="0" w:type="dxa"/>
          </w:tblCellMar>
        </w:tblPrEx>
        <w:trPr>
          <w:trHeight w:val="2962"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1B0FDD">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55</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5EB39">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农作物病虫害防治。</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8F0EDD">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111E6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1.负责全旗农作物病虫害防治监督管理工作；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2.负责提供技术指导；</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3.组织开展农作物病虫害监测工作；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4.发布农作物病虫害预报；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5.制定农作物病虫害防控预案，并开展灭杀工作。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履职保障：1.业务培训；2.物资保障。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91FD0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1.开展农作物病虫害防治宣传、动员、组织等工作；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2.常态化巡查，收集农作物健康信息，及时汇总上报；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3.及时下发《植物病虫情报》。</w:t>
            </w:r>
          </w:p>
        </w:tc>
      </w:tr>
      <w:tr w14:paraId="26909BEE">
        <w:tblPrEx>
          <w:shd w:val="clear" w:color="auto" w:fill="auto"/>
          <w:tblCellMar>
            <w:top w:w="0" w:type="dxa"/>
            <w:left w:w="0" w:type="dxa"/>
            <w:bottom w:w="0" w:type="dxa"/>
            <w:right w:w="0" w:type="dxa"/>
          </w:tblCellMar>
        </w:tblPrEx>
        <w:trPr>
          <w:trHeight w:val="2487"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D40238">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56</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EA6B72">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外来入侵物种的管理。</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EE79A">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7A139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1.外来入侵物种监督管理；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2.外来入侵物种普查；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3.外来入侵物种防治。</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履职保障：1.技术指导；2.业务培训。</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EE55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1.开展宣传；</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2.发现疑似外来物种，及时上报。</w:t>
            </w:r>
          </w:p>
        </w:tc>
      </w:tr>
      <w:tr w14:paraId="3FF00C51">
        <w:tblPrEx>
          <w:shd w:val="clear" w:color="auto" w:fill="auto"/>
          <w:tblCellMar>
            <w:top w:w="0" w:type="dxa"/>
            <w:left w:w="0" w:type="dxa"/>
            <w:bottom w:w="0" w:type="dxa"/>
            <w:right w:w="0" w:type="dxa"/>
          </w:tblCellMar>
        </w:tblPrEx>
        <w:trPr>
          <w:trHeight w:val="3308"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F4A74C">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57</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E5DD80">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畜禽屠宰监督管理。</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9C9D86">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4541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1.对新申请的畜禽屠宰企业，严格按照准入条件进行审查；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2.定期对辖区内的畜禽屠宰企业进行检查；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3.不定期对屠宰企业的畜禽产品进行质量抽检，对抽检不合格的产品，依法进行处理，并追溯原因，督促企业整改。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履职保障：业务培训。</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7D1CF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1.加强屠宰相关政策法规的宣传；</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2.督促屠宰企业落实质量安全主体责任，完善肉品品质检验制度，按要求配备肉品品质检验员，按规程实施肉品品质检验；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3.对发现质量安全问题及时上报。</w:t>
            </w:r>
          </w:p>
        </w:tc>
      </w:tr>
      <w:tr w14:paraId="554A773C">
        <w:tblPrEx>
          <w:tblCellMar>
            <w:top w:w="0" w:type="dxa"/>
            <w:left w:w="0" w:type="dxa"/>
            <w:bottom w:w="0" w:type="dxa"/>
            <w:right w:w="0" w:type="dxa"/>
          </w:tblCellMar>
        </w:tblPrEx>
        <w:trPr>
          <w:trHeight w:val="1634"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D943D">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58</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4D1F62">
            <w:pPr>
              <w:keepNext w:val="0"/>
              <w:keepLines w:val="0"/>
              <w:widowControl/>
              <w:suppressLineNumbers w:val="0"/>
              <w:jc w:val="both"/>
              <w:textAlignment w:val="center"/>
              <w:rPr>
                <w:rFonts w:hint="eastAsia" w:ascii="仿宋_GB2312" w:hAnsi="宋体" w:eastAsia="仿宋_GB2312" w:cs="仿宋_GB2312"/>
                <w:i w:val="0"/>
                <w:color w:val="auto"/>
                <w:w w:val="80"/>
                <w:sz w:val="24"/>
                <w:szCs w:val="24"/>
                <w:u w:val="none"/>
              </w:rPr>
            </w:pPr>
            <w:r>
              <w:rPr>
                <w:rFonts w:hint="eastAsia" w:ascii="仿宋_GB2312" w:hAnsi="宋体" w:eastAsia="仿宋_GB2312" w:cs="仿宋_GB2312"/>
                <w:i w:val="0"/>
                <w:color w:val="auto"/>
                <w:spacing w:val="-11"/>
                <w:kern w:val="0"/>
                <w:sz w:val="24"/>
                <w:szCs w:val="24"/>
                <w:u w:val="none"/>
                <w:lang w:val="en-US" w:eastAsia="zh-CN" w:bidi="ar"/>
              </w:rPr>
              <w:t>组织防疫员培训。</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B34D50">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48AD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1.确定培训方向及内容；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2.开展防疫员培训。</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590D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1.督促防疫员参加培训；</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2.提供培训场地。</w:t>
            </w:r>
          </w:p>
        </w:tc>
      </w:tr>
      <w:tr w14:paraId="1896AA24">
        <w:tblPrEx>
          <w:tblCellMar>
            <w:top w:w="0" w:type="dxa"/>
            <w:left w:w="0" w:type="dxa"/>
            <w:bottom w:w="0" w:type="dxa"/>
            <w:right w:w="0" w:type="dxa"/>
          </w:tblCellMar>
        </w:tblPrEx>
        <w:trPr>
          <w:trHeight w:val="1647"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78ADDB">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59</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07B9D">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开展动物集中免疫。</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5ACF20">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A367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1.实施动物疫病强制免疫计划；</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2.对免疫效果等情况进行监测；</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3.建立动物疫病免疫密度和免疫质量评估制度。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履职保障：业务培训。</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566A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1.做好动物集中免疫宣传；</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2.组织本辖区饲养动物的单位和个人做好强制免疫工作。</w:t>
            </w:r>
          </w:p>
        </w:tc>
      </w:tr>
      <w:tr w14:paraId="5E0E381A">
        <w:tblPrEx>
          <w:tblCellMar>
            <w:top w:w="0" w:type="dxa"/>
            <w:left w:w="0" w:type="dxa"/>
            <w:bottom w:w="0" w:type="dxa"/>
            <w:right w:w="0" w:type="dxa"/>
          </w:tblCellMar>
        </w:tblPrEx>
        <w:trPr>
          <w:trHeight w:val="234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A00C1">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60</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91C341">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辖区内畜禽养殖污染防治和资源化利用。</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B1DAA">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spacing w:val="-20"/>
                <w:w w:val="100"/>
                <w:kern w:val="0"/>
                <w:sz w:val="24"/>
                <w:szCs w:val="24"/>
                <w:u w:val="none"/>
                <w:lang w:val="en-US" w:eastAsia="zh-CN" w:bidi="ar"/>
              </w:rPr>
              <w:t>市生态环境局鄂托克前旗分局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4E9C3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1.负责污染防治的组织协调、监督管理等工作，组织协调相关部门按照职责分工做好农村污染防治工作；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2.对镇反馈事项进行实地踏勘核实，发现污染问题及时制止，提出整改措施；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3.采取措施，推进畜禽粪污的资源化利用。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市生态环境局鄂托克前旗分局：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负责对养殖场造成的畜禽养殖污染进行查处。</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498B9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1.做好宣传动员和摸排工作；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2.发现畜禽养殖环境污染行为的，应当及时制止和报告。</w:t>
            </w:r>
          </w:p>
        </w:tc>
      </w:tr>
      <w:tr w14:paraId="0BBF51D4">
        <w:tblPrEx>
          <w:shd w:val="clear" w:color="auto" w:fill="auto"/>
          <w:tblCellMar>
            <w:top w:w="0" w:type="dxa"/>
            <w:left w:w="0" w:type="dxa"/>
            <w:bottom w:w="0" w:type="dxa"/>
            <w:right w:w="0" w:type="dxa"/>
          </w:tblCellMar>
        </w:tblPrEx>
        <w:trPr>
          <w:trHeight w:val="300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45494">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61</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63871D">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农畜产品质量安全领域的监督管理与应急处置。</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D0E17">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旗市场监督管理局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AD86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1.制定农产品产地监测计划，负责对农业投入品使用的监督管理和指导；</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2.做好承诺达标合格证有关工作的指导服务；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3.根据农产品质量安全风险监测、风险评估结果和农产品质量安全状况等，制定监督抽查计划；</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4.对动植物疫病防控和畜禽屠宰环节、生鲜乳收购环节，食用农畜产品从种植养殖到批发零售市场环节进行质量安全监管；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5.在接到农畜产品质量安全事故报告后及时上报上级人民政府及有关部门，并立即采取控制措施。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1.与农牧和水利局建立健全农产品质量安全全程监督管理协作机制；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2.负责食用农畜产品进入批发零售市场或者生产加工企业后的监督管理。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履职保障：业务培训。</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166FE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1.督促企业落实安全生产主体责任；</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2.对辖区内生产经营主体开展日常检查；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3.协调屠宰经营主体配合上级完成样品采集任务；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4.协助做好农畜产品质量安全领域的监督管理、宣传指导和应急处置工作。</w:t>
            </w:r>
          </w:p>
        </w:tc>
      </w:tr>
      <w:tr w14:paraId="5AAD289D">
        <w:tblPrEx>
          <w:shd w:val="clear" w:color="auto" w:fill="auto"/>
          <w:tblCellMar>
            <w:top w:w="0" w:type="dxa"/>
            <w:left w:w="0" w:type="dxa"/>
            <w:bottom w:w="0" w:type="dxa"/>
            <w:right w:w="0" w:type="dxa"/>
          </w:tblCellMar>
        </w:tblPrEx>
        <w:trPr>
          <w:trHeight w:val="166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921C77">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62</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0B473">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组织农村“户改厕”项目的申报、实施。</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3E2235">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CBA39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1.审核评估上报“户改厕”计划；</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2.申请农村户厕项目立项，按规定拨付资金；</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3.实施项目建设；</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4.开展项目验收。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履职保障：1.业务指导；2.资金保障。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9498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1.政策宣传；</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2.对嘎查村上报的“户改厕”名单进行初审、汇总、上报；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3.配合实施；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4.配合验收；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5.档案归档，实行“一户一厕”档案管理制度。</w:t>
            </w:r>
          </w:p>
        </w:tc>
      </w:tr>
      <w:tr w14:paraId="292F0286">
        <w:tblPrEx>
          <w:tblCellMar>
            <w:top w:w="0" w:type="dxa"/>
            <w:left w:w="0" w:type="dxa"/>
            <w:bottom w:w="0" w:type="dxa"/>
            <w:right w:w="0" w:type="dxa"/>
          </w:tblCellMar>
        </w:tblPrEx>
        <w:trPr>
          <w:trHeight w:val="600" w:hRule="atLeast"/>
        </w:trPr>
        <w:tc>
          <w:tcPr>
            <w:tcW w:w="1541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9D953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宋体" w:eastAsia="黑体" w:cs="黑体"/>
                <w:i w:val="0"/>
                <w:color w:val="auto"/>
                <w:sz w:val="28"/>
                <w:szCs w:val="28"/>
                <w:u w:val="none"/>
              </w:rPr>
            </w:pPr>
            <w:r>
              <w:rPr>
                <w:rFonts w:hint="eastAsia" w:ascii="黑体" w:hAnsi="宋体" w:eastAsia="黑体" w:cs="黑体"/>
                <w:i w:val="0"/>
                <w:color w:val="auto"/>
                <w:kern w:val="0"/>
                <w:sz w:val="28"/>
                <w:szCs w:val="28"/>
                <w:u w:val="none"/>
                <w:lang w:val="en-US" w:eastAsia="zh-CN" w:bidi="ar"/>
              </w:rPr>
              <w:t>六、城乡建设（</w:t>
            </w:r>
            <w:r>
              <w:rPr>
                <w:rFonts w:hint="default" w:ascii="黑体" w:hAnsi="宋体" w:eastAsia="黑体" w:cs="黑体"/>
                <w:i w:val="0"/>
                <w:color w:val="000000"/>
                <w:kern w:val="0"/>
                <w:sz w:val="28"/>
                <w:szCs w:val="28"/>
                <w:u w:val="none"/>
                <w:lang w:val="en-US" w:eastAsia="zh-CN" w:bidi="ar"/>
              </w:rPr>
              <w:t>1</w:t>
            </w:r>
            <w:r>
              <w:rPr>
                <w:rFonts w:hint="eastAsia" w:ascii="黑体" w:hAnsi="宋体" w:eastAsia="黑体" w:cs="黑体"/>
                <w:i w:val="0"/>
                <w:color w:val="000000"/>
                <w:kern w:val="0"/>
                <w:sz w:val="28"/>
                <w:szCs w:val="28"/>
                <w:u w:val="none"/>
                <w:lang w:val="en-US" w:eastAsia="zh-CN" w:bidi="ar"/>
              </w:rPr>
              <w:t>1</w:t>
            </w:r>
            <w:r>
              <w:rPr>
                <w:rFonts w:hint="eastAsia" w:ascii="黑体" w:hAnsi="宋体" w:eastAsia="黑体" w:cs="黑体"/>
                <w:i w:val="0"/>
                <w:color w:val="auto"/>
                <w:kern w:val="0"/>
                <w:sz w:val="28"/>
                <w:szCs w:val="28"/>
                <w:u w:val="none"/>
                <w:lang w:val="en-US" w:eastAsia="zh-CN" w:bidi="ar"/>
              </w:rPr>
              <w:t>项）</w:t>
            </w:r>
          </w:p>
        </w:tc>
      </w:tr>
      <w:tr w14:paraId="458CF726">
        <w:tblPrEx>
          <w:tblCellMar>
            <w:top w:w="0" w:type="dxa"/>
            <w:left w:w="0" w:type="dxa"/>
            <w:bottom w:w="0" w:type="dxa"/>
            <w:right w:w="0" w:type="dxa"/>
          </w:tblCellMar>
        </w:tblPrEx>
        <w:trPr>
          <w:trHeight w:val="170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668D91">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63</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FAEC6A">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油气长输管道保护。</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445A1">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旗能源局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3939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旗能源局：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1.督促区域内相关管道企业落实管线保护责任；</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2.建立部门联合行政执法机制，定期组织联合执法检查，履行管道安全监管职责；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3.负责涉及油气长输管道安全风险的第三方施工审批，督促施工单位落实管道保护义务；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4.协调有关部门共同抓好管道企业抢修维修日常训练和应急能力建设。</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履职保障：1.业务指导；2.资金保障。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7C1A6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1.协调相关嘎查村（社区）落实协防员职责；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2.发现管道上方一定区域内有重物违规占压、第三方违法施工时，及时上报，并协助做好监督整改工作；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3.协助做好管道维修工作和应急处置。</w:t>
            </w:r>
          </w:p>
        </w:tc>
      </w:tr>
      <w:tr w14:paraId="668A245E">
        <w:tblPrEx>
          <w:shd w:val="clear" w:color="auto" w:fill="auto"/>
          <w:tblCellMar>
            <w:top w:w="0" w:type="dxa"/>
            <w:left w:w="0" w:type="dxa"/>
            <w:bottom w:w="0" w:type="dxa"/>
            <w:right w:w="0" w:type="dxa"/>
          </w:tblCellMar>
        </w:tblPrEx>
        <w:trPr>
          <w:trHeight w:val="43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30FB1A">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64</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9F76BB">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“气化鄂前旗”建设运行。</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89BBB3">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旗发展和改革委员会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旗能源局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旗消防救援大队</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AE9D0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燃气经营许可初审，统筹协调跨部门关系。</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负责林草手续的审批。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旗发展和改革委员会：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新建项目立项备案。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参与公路沿线燃气站点、管道等设施的规划和布局，道路穿越审批。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旗能源局：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1.争取用气指标；</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2.指导协调旗供电公司审批用电申请，评估电网承载能力，办理用电报装及验收。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负责建设用地使用审批。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对气站安装的防火间距、消防设施进行检查。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履职保障：1.业务指导；2.资金保障。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F1F19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1.加大“气化鄂前旗”项目的宣传力度；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2.进行撬装站选址民意调查；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3.协助撬装站选址和管线规划；</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4.按照国家标准，协助征用管线和基站占用土地；</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5.协助做好施工过程中的矛盾纠纷化解工作。</w:t>
            </w:r>
          </w:p>
        </w:tc>
      </w:tr>
      <w:tr w14:paraId="1946C06E">
        <w:tblPrEx>
          <w:shd w:val="clear" w:color="auto" w:fill="auto"/>
          <w:tblCellMar>
            <w:top w:w="0" w:type="dxa"/>
            <w:left w:w="0" w:type="dxa"/>
            <w:bottom w:w="0" w:type="dxa"/>
            <w:right w:w="0" w:type="dxa"/>
          </w:tblCellMar>
        </w:tblPrEx>
        <w:trPr>
          <w:trHeight w:val="1125"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39359">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65</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F3F60F">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既有住宅电梯加装。</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3AB8E6">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7BB7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1.申报既有住宅电梯加装的上级补助资金；</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2.负责加装电梯政策宣传；</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3.牵头做好加装电梯审批工作；</w:t>
            </w:r>
          </w:p>
          <w:p w14:paraId="794A833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4.负责既有住宅电梯加装的招投标工作；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5.负责施工过程中的监督管理；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6.负责既有住宅电梯加装完成后的验收；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7.协调加装电梯业主物业专项维修资金拨付。</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履职保障：1.业务指导；2.资金保障。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B7DE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1.协助开展加装电梯政策宣传，开展意愿摸排；</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2.指导业委会开展加装电梯初步方案意愿征集和公示；</w:t>
            </w:r>
          </w:p>
          <w:p w14:paraId="0747538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3.指导业委会做好加装电梯施工合同签订；</w:t>
            </w:r>
          </w:p>
          <w:p w14:paraId="70D367C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4.做好既有住宅电梯加装过程中的矛盾调解工作；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5.配合做好竣工验收工作。</w:t>
            </w:r>
          </w:p>
        </w:tc>
      </w:tr>
      <w:tr w14:paraId="715C13C5">
        <w:tblPrEx>
          <w:shd w:val="clear" w:color="auto" w:fill="auto"/>
          <w:tblCellMar>
            <w:top w:w="0" w:type="dxa"/>
            <w:left w:w="0" w:type="dxa"/>
            <w:bottom w:w="0" w:type="dxa"/>
            <w:right w:w="0" w:type="dxa"/>
          </w:tblCellMar>
        </w:tblPrEx>
        <w:trPr>
          <w:trHeight w:val="2773"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D85C57">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auto"/>
                <w:sz w:val="24"/>
                <w:szCs w:val="24"/>
                <w:u w:val="none"/>
                <w:lang w:val="en-US"/>
              </w:rPr>
            </w:pPr>
            <w:r>
              <w:rPr>
                <w:rFonts w:hint="eastAsia" w:ascii="Times New Roman Regular" w:hAnsi="Times New Roman Regular" w:eastAsia="Times New Roman Regular" w:cs="Times New Roman Regular"/>
                <w:i w:val="0"/>
                <w:color w:val="auto"/>
                <w:kern w:val="0"/>
                <w:sz w:val="24"/>
                <w:szCs w:val="24"/>
                <w:u w:val="none"/>
                <w:lang w:val="en-US" w:eastAsia="zh-CN" w:bidi="ar"/>
              </w:rPr>
              <w:t>66</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0E88E6">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无障碍环境建设与管理。</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E3DD35">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旗残疾人联合会</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D42F5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旗残疾人联合会：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一、残疾人家庭无障碍改造</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1.对申请残疾人无障碍改造的用户进行入户评估；</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2.对符合条件的用户进行无障碍改造；</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3.对已改造的用户进行入户验收。</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1EF2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1.全面掌握辖区公共设施、交通道路、居民聚居点等区域无障碍设施的配备使用情况；</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2.负责对辖区内残疾人无障碍改造需求进行摸底，确定改造对象和具体项目并收集残疾人对无障碍改造项目的反馈意见，及时上报残疾人联合会；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3.配合相关部门做好辖区内无障碍设施项目实施；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4.做好无障碍设施的日常管理与维护。</w:t>
            </w:r>
          </w:p>
        </w:tc>
      </w:tr>
      <w:tr w14:paraId="44DC51BE">
        <w:tblPrEx>
          <w:shd w:val="clear" w:color="auto" w:fill="auto"/>
          <w:tblCellMar>
            <w:top w:w="0" w:type="dxa"/>
            <w:left w:w="0" w:type="dxa"/>
            <w:bottom w:w="0" w:type="dxa"/>
            <w:right w:w="0" w:type="dxa"/>
          </w:tblCellMar>
        </w:tblPrEx>
        <w:trPr>
          <w:trHeight w:val="4062"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EFA53E">
            <w:pPr>
              <w:keepNext w:val="0"/>
              <w:keepLines w:val="0"/>
              <w:widowControl/>
              <w:suppressLineNumbers w:val="0"/>
              <w:jc w:val="center"/>
              <w:textAlignment w:val="center"/>
              <w:rPr>
                <w:rFonts w:hint="eastAsia" w:ascii="Times New Roman Regular" w:hAnsi="Times New Roman Regular" w:eastAsia="Times New Roman Regular" w:cs="Times New Roman Regular"/>
                <w:i w:val="0"/>
                <w:color w:val="auto"/>
                <w:kern w:val="2"/>
                <w:sz w:val="24"/>
                <w:szCs w:val="24"/>
                <w:u w:val="none"/>
                <w:lang w:val="en-US" w:eastAsia="zh-CN" w:bidi="ar-SA"/>
              </w:rPr>
            </w:pPr>
            <w:r>
              <w:rPr>
                <w:rFonts w:hint="eastAsia" w:ascii="Times New Roman Regular" w:hAnsi="Times New Roman Regular" w:eastAsia="Times New Roman Regular" w:cs="Times New Roman Regular"/>
                <w:i w:val="0"/>
                <w:color w:val="auto"/>
                <w:kern w:val="0"/>
                <w:sz w:val="24"/>
                <w:szCs w:val="24"/>
                <w:u w:val="none"/>
                <w:lang w:val="en-US" w:eastAsia="zh-CN" w:bidi="ar"/>
              </w:rPr>
              <w:t>66</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C2F51F">
            <w:pPr>
              <w:keepNext w:val="0"/>
              <w:keepLines w:val="0"/>
              <w:widowControl/>
              <w:suppressLineNumbers w:val="0"/>
              <w:jc w:val="both"/>
              <w:textAlignment w:val="center"/>
              <w:rPr>
                <w:rFonts w:hint="eastAsia" w:ascii="仿宋_GB2312" w:hAnsi="宋体" w:eastAsia="仿宋_GB2312" w:cs="仿宋_GB2312"/>
                <w:i w:val="0"/>
                <w:color w:val="auto"/>
                <w:kern w:val="2"/>
                <w:sz w:val="24"/>
                <w:szCs w:val="24"/>
                <w:u w:val="none"/>
                <w:lang w:val="en-US" w:eastAsia="zh-CN" w:bidi="ar-SA"/>
              </w:rPr>
            </w:pPr>
            <w:r>
              <w:rPr>
                <w:rFonts w:hint="eastAsia" w:ascii="仿宋_GB2312" w:hAnsi="宋体" w:eastAsia="仿宋_GB2312" w:cs="仿宋_GB2312"/>
                <w:i w:val="0"/>
                <w:color w:val="auto"/>
                <w:kern w:val="0"/>
                <w:sz w:val="24"/>
                <w:szCs w:val="24"/>
                <w:u w:val="none"/>
                <w:lang w:val="en-US" w:eastAsia="zh-CN" w:bidi="ar"/>
              </w:rPr>
              <w:t>无障碍环境建设与管理。</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F3147F">
            <w:pPr>
              <w:keepNext w:val="0"/>
              <w:keepLines w:val="0"/>
              <w:widowControl/>
              <w:suppressLineNumbers w:val="0"/>
              <w:jc w:val="center"/>
              <w:textAlignment w:val="center"/>
              <w:rPr>
                <w:rFonts w:hint="eastAsia" w:ascii="仿宋_GB2312" w:hAnsi="宋体" w:eastAsia="仿宋_GB2312" w:cs="仿宋_GB2312"/>
                <w:i w:val="0"/>
                <w:color w:val="auto"/>
                <w:kern w:val="2"/>
                <w:sz w:val="24"/>
                <w:szCs w:val="24"/>
                <w:u w:val="none"/>
                <w:lang w:val="en-US" w:eastAsia="zh-CN" w:bidi="ar-SA"/>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旗残疾人联合会</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3F0DB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二、公共区域无障碍改造</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1.及时向政府及相关部门反映残疾人在无障碍环境方面的需求和意见；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2.向政府及其职能部门提供建议，推动制定无障碍环境建设相关政策；</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3.积极开展无障碍环境建设宣传教育活动，传播无障碍理念，提高公众的无障碍意识；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4.组织残疾人对无障碍环境建设进行体验监督，发现问题不足并提出改进建议。</w:t>
            </w:r>
          </w:p>
          <w:p w14:paraId="61886D7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imes New Roman Regular" w:hAnsi="Times New Roman Regular" w:eastAsia="Times New Roman Regular" w:cs="Times New Roman Regular"/>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1.牵头制定无障碍环境建设的工作方案，明确无障碍环境建设的目标、任务和措施；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2.负责公共建筑、居住建筑、居住区无障碍设施工程建设活动的监督管理，确保无障碍设施与主体工程同步设计、同步施工、同步验收投入使用；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3.统筹协调拆除重建的危旧房改造项目、既有住宅加装电梯项目，同步做好无障碍设施提升改造；对已建成的不符合无障碍设施工程建设标准的道路、公共建筑等，组织编制无障碍设施改造计划并推动实施；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4.负责督促物业服务企业落实小区无障碍设施维护管理责任，并将其纳入物业管理考核项目，确保无障碍设施得到长期有效地维护和管理。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履职保障：1.政策支持；2.资金保障。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3CBA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Times New Roman Regular" w:hAnsi="Times New Roman Regular" w:eastAsia="Times New Roman Regular" w:cs="Times New Roman Regular"/>
                <w:i w:val="0"/>
                <w:color w:val="auto"/>
                <w:kern w:val="0"/>
                <w:sz w:val="24"/>
                <w:szCs w:val="24"/>
                <w:u w:val="none"/>
                <w:lang w:val="en-US" w:eastAsia="zh-CN" w:bidi="ar"/>
              </w:rPr>
            </w:pPr>
          </w:p>
        </w:tc>
      </w:tr>
      <w:tr w14:paraId="52BB6561">
        <w:tblPrEx>
          <w:shd w:val="clear" w:color="auto" w:fill="auto"/>
          <w:tblCellMar>
            <w:top w:w="0" w:type="dxa"/>
            <w:left w:w="0" w:type="dxa"/>
            <w:bottom w:w="0" w:type="dxa"/>
            <w:right w:w="0" w:type="dxa"/>
          </w:tblCellMar>
        </w:tblPrEx>
        <w:trPr>
          <w:trHeight w:val="1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214B4">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67</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304891">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市政公用设施的维护与管理。</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E7AFD1">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8CA0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1.负责管理交通、排水、供水、燃气、供热、市容环卫、园林绿化、信息通信、城市照明等设施；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2.建立并落实市政基础设施资产管理责任制，维护资产的安全、完整；</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3.对市政基础设施资产进行日常检查与维护，确保市政基础设施资产处于正常运行状态；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4.处置管理。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履职保障：1.资金保障；2.政策保障。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AA232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1.配合开展市政设施维护的宣传工作；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2.摸底排查无法正常运行的市政基础设施并上报。</w:t>
            </w:r>
          </w:p>
        </w:tc>
      </w:tr>
      <w:tr w14:paraId="0F3EFC21">
        <w:tblPrEx>
          <w:shd w:val="clear" w:color="auto" w:fill="auto"/>
          <w:tblCellMar>
            <w:top w:w="0" w:type="dxa"/>
            <w:left w:w="0" w:type="dxa"/>
            <w:bottom w:w="0" w:type="dxa"/>
            <w:right w:w="0" w:type="dxa"/>
          </w:tblCellMar>
        </w:tblPrEx>
        <w:trPr>
          <w:trHeight w:val="4091"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81A07B">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68</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2A550F">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电动汽车充电基础设施建设。</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7F52DC">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旗能源局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旗消防救援大队</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6C20D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旗能源局：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1.审批充电桩建设项目；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2.指导旗供电公司审批用电申请，评估电网承载能力，办理用电报装及验收。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参与公路沿线、服务区充电设施的规划和布局。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负责充电基础设施的规划布局。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负责土地使用审核，确定土地性质与产权归属。</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对充电桩安装的防火间距、消防设施进行检查。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履职保障：政策支持。</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60888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1.协助充电桩用地征用工作；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2.做好施工过程中的矛盾纠纷调解工作。</w:t>
            </w:r>
          </w:p>
        </w:tc>
      </w:tr>
      <w:tr w14:paraId="05333CB0">
        <w:tblPrEx>
          <w:shd w:val="clear" w:color="auto" w:fill="auto"/>
          <w:tblCellMar>
            <w:top w:w="0" w:type="dxa"/>
            <w:left w:w="0" w:type="dxa"/>
            <w:bottom w:w="0" w:type="dxa"/>
            <w:right w:w="0" w:type="dxa"/>
          </w:tblCellMar>
        </w:tblPrEx>
        <w:trPr>
          <w:trHeight w:val="2629"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74F398">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69</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27125">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老旧小区改造。</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CD5A97">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CEBC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1.负责项目可行性评估和立项工作；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2.办理项目前期手续；</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3.对设计、施工、监理单位进行招标；</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4.组织开展工程质量及施工进度进展情况监督检查；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5.组织相关单位进行工程验收。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履职保障：1.业务培训；2.政策支持。</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59618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1.组织开展项目前期的意见征求、宣传动员工作；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2.对施工过程中出现的质量和安全问题及时上报；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3.配合解决施工过程中的矛盾纠纷；</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4.配合开展工程验收工作。</w:t>
            </w:r>
          </w:p>
        </w:tc>
      </w:tr>
      <w:tr w14:paraId="5506FF92">
        <w:tblPrEx>
          <w:shd w:val="clear" w:color="auto" w:fill="auto"/>
          <w:tblCellMar>
            <w:top w:w="0" w:type="dxa"/>
            <w:left w:w="0" w:type="dxa"/>
            <w:bottom w:w="0" w:type="dxa"/>
            <w:right w:w="0" w:type="dxa"/>
          </w:tblCellMar>
        </w:tblPrEx>
        <w:trPr>
          <w:trHeight w:val="1292"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DBA1BE">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70</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45AA93">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农村牧区“暖心煤”需求的统计上报和发放。</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5A6C43">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旗能源局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旗纪委监委</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DE058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旗能源局：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1.负责落实煤源，统筹推进冬季取暖用煤工作；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2.督促煤矿与各镇签订煤炭采购合同；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3.对农牧民取暖用煤和城镇集中供热煤进行煤质抽检化验，确保煤质符合用煤要求。</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负责煤炭拉运车辆交通管控，优先保障“暖心煤”拉运车排队、装运等工作，做好各卡口通行协调，开辟“暖心煤”供应绿色通道。</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旗纪委监委：</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负责项目推进情况全过程监督。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1BF9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1.按照方案要求做好本辖区冬季取暖用煤农牧户数及需求统计、公示、汇总上报工作；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2.负责与煤矿签订煤炭采购合同、《交接确认书》；</w:t>
            </w:r>
          </w:p>
          <w:p w14:paraId="38EFFBE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3.统一组织煤炭拉运和农牧民冬季取暖用煤发放。</w:t>
            </w:r>
          </w:p>
        </w:tc>
      </w:tr>
      <w:tr w14:paraId="2C5C20C3">
        <w:tblPrEx>
          <w:shd w:val="clear" w:color="auto" w:fill="auto"/>
          <w:tblCellMar>
            <w:top w:w="0" w:type="dxa"/>
            <w:left w:w="0" w:type="dxa"/>
            <w:bottom w:w="0" w:type="dxa"/>
            <w:right w:w="0" w:type="dxa"/>
          </w:tblCellMar>
        </w:tblPrEx>
        <w:trPr>
          <w:trHeight w:val="3847"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4540F">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71</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CE34F8">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房屋和市政建筑施工监管。</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7E940">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0D8DF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1.负责限额以上房屋、市政工程建设过程中的安全监督管理工作；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2.规范建筑市场秩序，监督建筑企业的资质和施工质量，防止低质建筑和违规建设；</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3.贯彻落实建筑节能政策，监督建筑项目的节能设计和施工，促进可持续发展；</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4.指导房屋市政建设工程管理工作。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1.指导依法依规用地，做好地质灾害风险排查；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2.指导开展各类违法建筑排查处置工作。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C7A8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1.监管限额以下的房屋和市政建筑施工；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2.负责辖区内的村庄规划建设管理工作，并按规定设置村庄规划建设管理机构或者配备专职管理人员。</w:t>
            </w:r>
          </w:p>
        </w:tc>
      </w:tr>
      <w:tr w14:paraId="49648E6A">
        <w:tblPrEx>
          <w:tblCellMar>
            <w:top w:w="0" w:type="dxa"/>
            <w:left w:w="0" w:type="dxa"/>
            <w:bottom w:w="0" w:type="dxa"/>
            <w:right w:w="0" w:type="dxa"/>
          </w:tblCellMar>
        </w:tblPrEx>
        <w:trPr>
          <w:trHeight w:val="1757"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A2D55">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72</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AC87ED">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农村牧区危房改造。</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0B1759">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CABBD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1.做好农村房屋安全隐患排查的监督与指导；</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2.会同镇对危房改造项目进行验收，验收合格后及时拨付资金。</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履职保障：1.业务指导；2.政策支持。</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0689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1.做好危房改造政策的宣传；</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2.开展辖区内危房改造对象排查及申报工作；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3.督促产权人做好危房改造；</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4.危房改造项目完工后，协同住房和城乡建设局开展验收。</w:t>
            </w:r>
          </w:p>
        </w:tc>
      </w:tr>
      <w:tr w14:paraId="0F8D16BA">
        <w:tblPrEx>
          <w:tblCellMar>
            <w:top w:w="0" w:type="dxa"/>
            <w:left w:w="0" w:type="dxa"/>
            <w:bottom w:w="0" w:type="dxa"/>
            <w:right w:w="0" w:type="dxa"/>
          </w:tblCellMar>
        </w:tblPrEx>
        <w:trPr>
          <w:trHeight w:val="4194"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45D5C">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73</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DDD5D">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自建房屋的建设管理及安全隐患排查整治。</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CAC1CE">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F0F4C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1.划分风险等级，组织专业人员或第三方机构进行核查、鉴定，出具鉴定报告；</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2.督促房屋产权人对存在安全隐患自建房自行整治；</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3.农村房屋二层以上建筑工程质量安全监管和整治。</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依法开展农用地转用、规划许可、农村房地一体不动产登记等监督管理服务工作。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履职保障：1.业务培训；2.资金保障。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8B2A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经营性自建房：</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1.告知经营性自建房房屋使用安全责任人相关房屋安全责任，并指导督促其落实；</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2.指导和督促房屋使用安全责任人及时报告严重房屋安全隐患，并采取暂停使用、疏散人群、设置警示标志等应急措施；</w:t>
            </w:r>
          </w:p>
          <w:p w14:paraId="7C54AF9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3.督促房屋使用安全责任人按照鉴定报告、解危通知书等提出的书面处理意见，采取维修加固、停止使用、拆除等措施消除安全隐患。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农村住房：</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1.建立常态化农村住房安全隐患排查机制，及时发现并采取有效措施消除安全隐患；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2.统筹建立联审联办制度，依法依规开展农村住房用地规划、建设行政审批；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3.负责在村庄规划中统筹安排农村宅基地用地规模和布局。</w:t>
            </w:r>
          </w:p>
        </w:tc>
      </w:tr>
      <w:tr w14:paraId="1040A439">
        <w:tblPrEx>
          <w:shd w:val="clear" w:color="auto" w:fill="auto"/>
          <w:tblCellMar>
            <w:top w:w="0" w:type="dxa"/>
            <w:left w:w="0" w:type="dxa"/>
            <w:bottom w:w="0" w:type="dxa"/>
            <w:right w:w="0" w:type="dxa"/>
          </w:tblCellMar>
        </w:tblPrEx>
        <w:trPr>
          <w:trHeight w:val="600" w:hRule="atLeast"/>
        </w:trPr>
        <w:tc>
          <w:tcPr>
            <w:tcW w:w="1541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2C4A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宋体" w:eastAsia="黑体" w:cs="黑体"/>
                <w:i w:val="0"/>
                <w:color w:val="auto"/>
                <w:sz w:val="28"/>
                <w:szCs w:val="28"/>
                <w:u w:val="none"/>
              </w:rPr>
            </w:pPr>
            <w:r>
              <w:rPr>
                <w:rFonts w:hint="eastAsia" w:ascii="黑体" w:hAnsi="宋体" w:eastAsia="黑体" w:cs="黑体"/>
                <w:i w:val="0"/>
                <w:color w:val="auto"/>
                <w:kern w:val="0"/>
                <w:sz w:val="28"/>
                <w:szCs w:val="28"/>
                <w:u w:val="none"/>
                <w:lang w:val="en-US" w:eastAsia="zh-CN" w:bidi="ar"/>
              </w:rPr>
              <w:t>七、生态环保（</w:t>
            </w:r>
            <w:r>
              <w:rPr>
                <w:rFonts w:hint="default" w:ascii="黑体" w:hAnsi="宋体" w:eastAsia="黑体" w:cs="黑体"/>
                <w:i w:val="0"/>
                <w:color w:val="000000"/>
                <w:kern w:val="0"/>
                <w:sz w:val="28"/>
                <w:szCs w:val="28"/>
                <w:u w:val="none"/>
                <w:lang w:val="en-US" w:eastAsia="zh-CN" w:bidi="ar"/>
              </w:rPr>
              <w:t>19</w:t>
            </w:r>
            <w:r>
              <w:rPr>
                <w:rFonts w:hint="eastAsia" w:ascii="黑体" w:hAnsi="宋体" w:eastAsia="黑体" w:cs="黑体"/>
                <w:i w:val="0"/>
                <w:color w:val="auto"/>
                <w:kern w:val="0"/>
                <w:sz w:val="28"/>
                <w:szCs w:val="28"/>
                <w:u w:val="none"/>
                <w:lang w:val="en-US" w:eastAsia="zh-CN" w:bidi="ar"/>
              </w:rPr>
              <w:t>项）</w:t>
            </w:r>
          </w:p>
        </w:tc>
      </w:tr>
      <w:tr w14:paraId="13C6B432">
        <w:tblPrEx>
          <w:tblCellMar>
            <w:top w:w="0" w:type="dxa"/>
            <w:left w:w="0" w:type="dxa"/>
            <w:bottom w:w="0" w:type="dxa"/>
            <w:right w:w="0" w:type="dxa"/>
          </w:tblCellMar>
        </w:tblPrEx>
        <w:trPr>
          <w:trHeight w:val="27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8E24E6">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auto"/>
                <w:sz w:val="24"/>
                <w:szCs w:val="24"/>
                <w:u w:val="none"/>
                <w:lang w:val="en-US"/>
              </w:rPr>
            </w:pPr>
            <w:r>
              <w:rPr>
                <w:rFonts w:hint="eastAsia" w:ascii="Times New Roman Regular" w:hAnsi="Times New Roman Regular" w:eastAsia="Times New Roman Regular" w:cs="Times New Roman Regular"/>
                <w:i w:val="0"/>
                <w:color w:val="auto"/>
                <w:kern w:val="0"/>
                <w:sz w:val="24"/>
                <w:szCs w:val="24"/>
                <w:u w:val="none"/>
                <w:lang w:val="en-US" w:eastAsia="zh-CN" w:bidi="ar"/>
              </w:rPr>
              <w:t>74</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F54C1">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落实“三北”工程和其他林草生态建设项目要求，依权限做好毛乌素沙漠治理工作。</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C5B878">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609A7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旗林业和草原局：</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1.对项目开展可行性研究；</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2.申报立项；</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3.勘察设计；</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4.组织实施；</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5.对工程实施全过程进行监督管理，处理施工过程中发生的安全生产事故和矛盾纠纷；</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6.组织验收；</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7.交由农牧户管护。</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履职保障：1.业务指导；2.资金保障。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32B7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1.政策宣传，征求农牧民项目实施意见；</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2.组织农牧民申报；</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3.对农牧民实施林草生态建设工程申请的初审、上报；</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4.配合完成“三北”工程和其他林草生态建设项目地块落实；</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5.协助调解施工过程中的矛盾纠纷；</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6.配合开展检查验收；</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7.配合开展项目区的管护。</w:t>
            </w:r>
          </w:p>
        </w:tc>
      </w:tr>
      <w:tr w14:paraId="4A625B07">
        <w:tblPrEx>
          <w:shd w:val="clear" w:color="auto" w:fill="auto"/>
          <w:tblCellMar>
            <w:top w:w="0" w:type="dxa"/>
            <w:left w:w="0" w:type="dxa"/>
            <w:bottom w:w="0" w:type="dxa"/>
            <w:right w:w="0" w:type="dxa"/>
          </w:tblCellMar>
        </w:tblPrEx>
        <w:trPr>
          <w:trHeight w:val="2118"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E835E">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75</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C146A6">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环保督察反馈问题的整改。</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54536">
            <w:pPr>
              <w:keepNext w:val="0"/>
              <w:keepLines w:val="0"/>
              <w:widowControl/>
              <w:suppressLineNumbers w:val="0"/>
              <w:jc w:val="center"/>
              <w:textAlignment w:val="center"/>
              <w:rPr>
                <w:rFonts w:hint="eastAsia" w:ascii="仿宋_GB2312" w:hAnsi="宋体" w:eastAsia="仿宋_GB2312" w:cs="仿宋_GB2312"/>
                <w:i w:val="0"/>
                <w:color w:val="auto"/>
                <w:spacing w:val="-20"/>
                <w:w w:val="100"/>
                <w:sz w:val="24"/>
                <w:szCs w:val="24"/>
                <w:u w:val="none"/>
              </w:rPr>
            </w:pPr>
            <w:r>
              <w:rPr>
                <w:rFonts w:hint="eastAsia" w:ascii="仿宋_GB2312" w:hAnsi="宋体" w:eastAsia="仿宋_GB2312" w:cs="仿宋_GB2312"/>
                <w:i w:val="0"/>
                <w:color w:val="auto"/>
                <w:spacing w:val="-20"/>
                <w:w w:val="100"/>
                <w:kern w:val="0"/>
                <w:sz w:val="24"/>
                <w:szCs w:val="24"/>
                <w:u w:val="none"/>
                <w:lang w:val="en-US" w:eastAsia="zh-CN" w:bidi="ar"/>
              </w:rPr>
              <w:t>市生态环境局鄂托克前旗分局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01E4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市生态环境局鄂托克前旗分局：</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1.分析问题；</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2.制定环保督察反馈问题整改方案；</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3.加强统筹协调，推动落实整改；</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4.跟踪问题整改情况；</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5.收集整理佐证材料并上报销号。</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履职保障：1.业务指导；2.资金保障。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D742B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1.调查核实；</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2.按照环保督察反馈问题整改方案进行整改；</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3.上报销号佐证材料。</w:t>
            </w:r>
          </w:p>
        </w:tc>
      </w:tr>
      <w:tr w14:paraId="3C6138E2">
        <w:tblPrEx>
          <w:shd w:val="clear" w:color="auto" w:fill="auto"/>
          <w:tblCellMar>
            <w:top w:w="0" w:type="dxa"/>
            <w:left w:w="0" w:type="dxa"/>
            <w:bottom w:w="0" w:type="dxa"/>
            <w:right w:w="0" w:type="dxa"/>
          </w:tblCellMar>
        </w:tblPrEx>
        <w:trPr>
          <w:trHeight w:val="2196"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F5153">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76</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592CB">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污染源普查。</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E5CF0">
            <w:pPr>
              <w:keepNext w:val="0"/>
              <w:keepLines w:val="0"/>
              <w:widowControl/>
              <w:suppressLineNumbers w:val="0"/>
              <w:jc w:val="center"/>
              <w:textAlignment w:val="center"/>
              <w:rPr>
                <w:rFonts w:hint="eastAsia" w:ascii="仿宋_GB2312" w:hAnsi="宋体" w:eastAsia="仿宋_GB2312" w:cs="仿宋_GB2312"/>
                <w:i w:val="0"/>
                <w:color w:val="auto"/>
                <w:spacing w:val="-20"/>
                <w:w w:val="100"/>
                <w:sz w:val="24"/>
                <w:szCs w:val="24"/>
                <w:u w:val="none"/>
              </w:rPr>
            </w:pPr>
            <w:r>
              <w:rPr>
                <w:rFonts w:hint="eastAsia" w:ascii="仿宋_GB2312" w:hAnsi="宋体" w:eastAsia="仿宋_GB2312" w:cs="仿宋_GB2312"/>
                <w:i w:val="0"/>
                <w:color w:val="auto"/>
                <w:spacing w:val="-20"/>
                <w:w w:val="100"/>
                <w:kern w:val="0"/>
                <w:sz w:val="24"/>
                <w:szCs w:val="24"/>
                <w:u w:val="none"/>
                <w:lang w:val="en-US" w:eastAsia="zh-CN" w:bidi="ar"/>
              </w:rPr>
              <w:t>市生态环境局鄂托克前旗分局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7AC0B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市生态环境局鄂托克前旗分局：</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1.负责本行政区域的污染源普查日常工作；</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2.摸清污染源底数，对镇上报的线索加强监管整治，增强环境监督执法的针对性和有效性；</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3.加强对污染源的监控，加大环境管理力度，有效控制污染物排放。</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履职保障：业务指导。</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0B4AB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1.广泛动员和组织社会力量积极参与污染源普查工作，发现问题及时上报；</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2.配合上级部门开展环境污染隐患排查，重点排查工业企业（包括小作坊）、畜禽养殖场、餐饮店铺、垃圾处理点等可能产生污染的对象；</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3.对清查出的污染源进行初步登记并上报。</w:t>
            </w:r>
          </w:p>
        </w:tc>
      </w:tr>
      <w:tr w14:paraId="37AA04DC">
        <w:tblPrEx>
          <w:shd w:val="clear" w:color="auto" w:fill="auto"/>
          <w:tblCellMar>
            <w:top w:w="0" w:type="dxa"/>
            <w:left w:w="0" w:type="dxa"/>
            <w:bottom w:w="0" w:type="dxa"/>
            <w:right w:w="0" w:type="dxa"/>
          </w:tblCellMar>
        </w:tblPrEx>
        <w:trPr>
          <w:trHeight w:val="2593"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F8D0DF">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77</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BE361A">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农用薄膜污染防治。</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6B5234">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spacing w:val="-20"/>
                <w:w w:val="100"/>
                <w:kern w:val="0"/>
                <w:sz w:val="24"/>
                <w:szCs w:val="24"/>
                <w:u w:val="none"/>
                <w:lang w:val="en-US" w:eastAsia="zh-CN" w:bidi="ar"/>
              </w:rPr>
              <w:t>市生态环境局鄂托克前旗分局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旗工信和科技局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3F2D3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旗农牧和水利局：</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1.指导各镇进行农用薄膜污染防治的宣传、引导工作；</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2.负责农用薄膜使用、回收监督管理工作，指导农用薄膜回收利用体系建设；</w:t>
            </w:r>
          </w:p>
          <w:p w14:paraId="4F5EC2B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3.采取措施，加强农用薄膜使用控制，开展农用薄膜适宜性覆盖评价，为农用薄膜使用者提供技术指导和服务，鼓励农用薄膜覆盖替代技术和产品的研发与示范推广，提高农用薄膜科学使用水平。</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F3FB4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1.进行农用薄膜污染防治的宣传、引导工作；</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2.对农用薄膜的回收情况进行日常监督检查；</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3.对辖区内农用薄膜污染防治进行监督管理，发现问题依权限进行处罚。</w:t>
            </w:r>
          </w:p>
        </w:tc>
      </w:tr>
      <w:tr w14:paraId="4A776AE5">
        <w:tblPrEx>
          <w:shd w:val="clear" w:color="auto" w:fill="auto"/>
          <w:tblCellMar>
            <w:top w:w="0" w:type="dxa"/>
            <w:left w:w="0" w:type="dxa"/>
            <w:bottom w:w="0" w:type="dxa"/>
            <w:right w:w="0" w:type="dxa"/>
          </w:tblCellMar>
        </w:tblPrEx>
        <w:trPr>
          <w:trHeight w:val="184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09870A">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auto"/>
                <w:kern w:val="2"/>
                <w:sz w:val="24"/>
                <w:szCs w:val="24"/>
                <w:u w:val="none"/>
                <w:lang w:val="en-US" w:eastAsia="zh-CN" w:bidi="ar-SA"/>
              </w:rPr>
            </w:pPr>
            <w:r>
              <w:rPr>
                <w:rFonts w:hint="eastAsia" w:ascii="Times New Roman Regular" w:hAnsi="Times New Roman Regular" w:eastAsia="Times New Roman Regular" w:cs="Times New Roman Regular"/>
                <w:i w:val="0"/>
                <w:color w:val="auto"/>
                <w:kern w:val="2"/>
                <w:sz w:val="24"/>
                <w:szCs w:val="24"/>
                <w:u w:val="none"/>
                <w:lang w:val="en-US" w:eastAsia="zh-CN" w:bidi="ar-SA"/>
              </w:rPr>
              <w:t>77</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EE6B8">
            <w:pPr>
              <w:keepNext w:val="0"/>
              <w:keepLines w:val="0"/>
              <w:widowControl/>
              <w:suppressLineNumbers w:val="0"/>
              <w:jc w:val="both"/>
              <w:textAlignment w:val="center"/>
              <w:rPr>
                <w:rFonts w:hint="eastAsia" w:ascii="仿宋_GB2312" w:hAnsi="宋体" w:eastAsia="仿宋_GB2312" w:cs="仿宋_GB2312"/>
                <w:i w:val="0"/>
                <w:color w:val="auto"/>
                <w:kern w:val="2"/>
                <w:sz w:val="24"/>
                <w:szCs w:val="24"/>
                <w:u w:val="none"/>
                <w:lang w:val="en-US" w:eastAsia="zh-CN" w:bidi="ar-SA"/>
              </w:rPr>
            </w:pPr>
            <w:r>
              <w:rPr>
                <w:rFonts w:hint="eastAsia" w:ascii="仿宋_GB2312" w:hAnsi="宋体" w:eastAsia="仿宋_GB2312" w:cs="仿宋_GB2312"/>
                <w:i w:val="0"/>
                <w:color w:val="auto"/>
                <w:kern w:val="0"/>
                <w:sz w:val="24"/>
                <w:szCs w:val="24"/>
                <w:u w:val="none"/>
                <w:lang w:val="en-US" w:eastAsia="zh-CN" w:bidi="ar"/>
              </w:rPr>
              <w:t>农用薄膜污染防治。</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78397">
            <w:pPr>
              <w:keepNext w:val="0"/>
              <w:keepLines w:val="0"/>
              <w:widowControl/>
              <w:suppressLineNumbers w:val="0"/>
              <w:jc w:val="center"/>
              <w:textAlignment w:val="center"/>
              <w:rPr>
                <w:rFonts w:hint="eastAsia" w:ascii="仿宋_GB2312" w:hAnsi="宋体" w:eastAsia="仿宋_GB2312" w:cs="仿宋_GB2312"/>
                <w:i w:val="0"/>
                <w:color w:val="auto"/>
                <w:spacing w:val="-20"/>
                <w:w w:val="100"/>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spacing w:val="-20"/>
                <w:w w:val="100"/>
                <w:kern w:val="0"/>
                <w:sz w:val="24"/>
                <w:szCs w:val="24"/>
                <w:u w:val="none"/>
                <w:lang w:val="en-US" w:eastAsia="zh-CN" w:bidi="ar"/>
              </w:rPr>
              <w:t>市生态环境局鄂托克前旗分局</w:t>
            </w:r>
          </w:p>
          <w:p w14:paraId="492B8480">
            <w:pPr>
              <w:keepNext w:val="0"/>
              <w:keepLines w:val="0"/>
              <w:widowControl/>
              <w:suppressLineNumbers w:val="0"/>
              <w:jc w:val="center"/>
              <w:textAlignment w:val="center"/>
              <w:rPr>
                <w:rFonts w:hint="eastAsia" w:ascii="仿宋_GB2312" w:hAnsi="宋体" w:eastAsia="仿宋_GB2312" w:cs="仿宋_GB2312"/>
                <w:i w:val="0"/>
                <w:color w:val="auto"/>
                <w:kern w:val="2"/>
                <w:sz w:val="24"/>
                <w:szCs w:val="24"/>
                <w:u w:val="none"/>
                <w:lang w:val="en-US" w:eastAsia="zh-CN" w:bidi="ar-SA"/>
              </w:rPr>
            </w:pPr>
            <w:r>
              <w:rPr>
                <w:rFonts w:hint="eastAsia" w:ascii="仿宋_GB2312" w:hAnsi="宋体" w:eastAsia="仿宋_GB2312" w:cs="仿宋_GB2312"/>
                <w:i w:val="0"/>
                <w:color w:val="auto"/>
                <w:kern w:val="0"/>
                <w:sz w:val="24"/>
                <w:szCs w:val="24"/>
                <w:u w:val="none"/>
                <w:lang w:val="en-US" w:eastAsia="zh-CN" w:bidi="ar"/>
              </w:rPr>
              <w:t>旗工信和科技局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7F656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2"/>
                <w:sz w:val="24"/>
                <w:szCs w:val="24"/>
                <w:u w:val="none"/>
                <w:lang w:val="en-US" w:eastAsia="zh-CN" w:bidi="ar-SA"/>
              </w:rPr>
            </w:pP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负责农用薄膜产品质量监督管理工作，建立农用薄膜市场监管制度，定期开展质量监督检查，查处生产、销售不符合强制性国家标准农用薄膜的行为，防止违规农用薄膜流入市场。</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市生态环境局鄂托克前旗分局：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负责农用薄膜回收、再利用过程环境污染防治的监督管理工作，确保回收再利用企业做好厂区和周边环境的保护，避免二次污染。</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负责农用薄膜生产指导工作。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履职保障：1.业务指导；2.政策支持。</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FC75F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2"/>
                <w:sz w:val="24"/>
                <w:szCs w:val="24"/>
                <w:u w:val="none"/>
                <w:lang w:val="en-US" w:eastAsia="zh-CN" w:bidi="ar-SA"/>
              </w:rPr>
            </w:pPr>
          </w:p>
        </w:tc>
      </w:tr>
      <w:tr w14:paraId="072CAB9C">
        <w:tblPrEx>
          <w:shd w:val="clear" w:color="auto" w:fill="auto"/>
          <w:tblCellMar>
            <w:top w:w="0" w:type="dxa"/>
            <w:left w:w="0" w:type="dxa"/>
            <w:bottom w:w="0" w:type="dxa"/>
            <w:right w:w="0" w:type="dxa"/>
          </w:tblCellMar>
        </w:tblPrEx>
        <w:trPr>
          <w:trHeight w:val="184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0E0F5C">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78</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A66FA2">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开展河湖联防联控联治，整改河湖“乱占、乱采、乱堆、乱建”问题。</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2F92D1">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7D935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1.开展河湖执法巡查监管、处罚工作；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2.审定并组织实施相应河湖“一河湖一策”方案或细化实施方案；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3.组织开展相应河湖突出问题专项治理和专项整治行动；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4.依法依规查处相关违法行为。</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履职保障：1.业务培训；2.资金保障。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B8E5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1.开展河湖经常性巡查，对巡查发现的问题组织整改；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2.不能解决的问题及时向相关上级河长湖长或河长制办公室、有关部门单位报告；</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3.组织开展河湖日常清漂、保洁，配合上级河长湖长、有关部门单位开展河湖问题清理整治或执法行动。</w:t>
            </w:r>
          </w:p>
        </w:tc>
      </w:tr>
      <w:tr w14:paraId="1C4FE844">
        <w:tblPrEx>
          <w:tblCellMar>
            <w:top w:w="0" w:type="dxa"/>
            <w:left w:w="0" w:type="dxa"/>
            <w:bottom w:w="0" w:type="dxa"/>
            <w:right w:w="0" w:type="dxa"/>
          </w:tblCellMar>
        </w:tblPrEx>
        <w:trPr>
          <w:trHeight w:val="210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2EFB7F">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79</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13C34">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预防和治理水土流失。</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E1B95">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C961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1.完成年度水土流失治理任务；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2.全旗生产建设项目水土保持监督管理；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3.扰动地块遥感图斑现场认定核查；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4.配合上级开展水土流失动态监测；</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5.开展水土保持宣传教育工作。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履职保障：1.业务培训；2.资金保障。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A8434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1.加强水土保持教育和宣传工作；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2.对发现的破坏水土保持的违法违规行为，及时上报；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3.组织单位和个人种树种草，扩大林草面积，涵盖水源，预防和减轻水土流失。</w:t>
            </w:r>
          </w:p>
        </w:tc>
      </w:tr>
      <w:tr w14:paraId="2459CDB0">
        <w:tblPrEx>
          <w:tblCellMar>
            <w:top w:w="0" w:type="dxa"/>
            <w:left w:w="0" w:type="dxa"/>
            <w:bottom w:w="0" w:type="dxa"/>
            <w:right w:w="0" w:type="dxa"/>
          </w:tblCellMar>
        </w:tblPrEx>
        <w:trPr>
          <w:trHeight w:val="1883"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C664C2">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80</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E69DC6">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湿地保护。</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EDB25F">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spacing w:val="-20"/>
                <w:w w:val="100"/>
                <w:kern w:val="0"/>
                <w:sz w:val="24"/>
                <w:szCs w:val="24"/>
                <w:u w:val="none"/>
                <w:lang w:val="en-US" w:eastAsia="zh-CN" w:bidi="ar"/>
              </w:rPr>
              <w:t>市生态环境局鄂托克前旗分局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6DCA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负责湿地的监督管理、生态保护修复工作，落实湿地保护规划，监督管理湿地开发利用。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负责河流、河湖范围内湿地的保护、修复和管理。</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C6F67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1.开展湿地保护宣传教育；</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2.协助林业和草原局开展湿地荒漠化普查；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3.及时核查林业和草原局下发的湿地图斑；</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4.开展日常检查，及时制止并上报破坏湿地的违法线索。</w:t>
            </w:r>
          </w:p>
        </w:tc>
      </w:tr>
      <w:tr w14:paraId="641DD703">
        <w:tblPrEx>
          <w:tblCellMar>
            <w:top w:w="0" w:type="dxa"/>
            <w:left w:w="0" w:type="dxa"/>
            <w:bottom w:w="0" w:type="dxa"/>
            <w:right w:w="0" w:type="dxa"/>
          </w:tblCellMar>
        </w:tblPrEx>
        <w:trPr>
          <w:trHeight w:val="164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D6D1E5">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auto"/>
                <w:kern w:val="2"/>
                <w:sz w:val="24"/>
                <w:szCs w:val="24"/>
                <w:u w:val="none"/>
                <w:lang w:val="en-US" w:eastAsia="zh-CN" w:bidi="ar-SA"/>
              </w:rPr>
            </w:pPr>
            <w:r>
              <w:rPr>
                <w:rFonts w:hint="eastAsia" w:ascii="Times New Roman Regular" w:hAnsi="Times New Roman Regular" w:eastAsia="Times New Roman Regular" w:cs="Times New Roman Regular"/>
                <w:i w:val="0"/>
                <w:color w:val="auto"/>
                <w:kern w:val="2"/>
                <w:sz w:val="24"/>
                <w:szCs w:val="24"/>
                <w:u w:val="none"/>
                <w:lang w:val="en-US" w:eastAsia="zh-CN" w:bidi="ar-SA"/>
              </w:rPr>
              <w:t>80</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2DB22E">
            <w:pPr>
              <w:keepNext w:val="0"/>
              <w:keepLines w:val="0"/>
              <w:widowControl/>
              <w:suppressLineNumbers w:val="0"/>
              <w:jc w:val="both"/>
              <w:textAlignment w:val="center"/>
              <w:rPr>
                <w:rFonts w:hint="eastAsia" w:ascii="仿宋_GB2312" w:hAnsi="宋体" w:eastAsia="仿宋_GB2312" w:cs="仿宋_GB2312"/>
                <w:i w:val="0"/>
                <w:color w:val="auto"/>
                <w:kern w:val="2"/>
                <w:sz w:val="24"/>
                <w:szCs w:val="24"/>
                <w:u w:val="none"/>
                <w:lang w:val="en-US" w:eastAsia="zh-CN" w:bidi="ar-SA"/>
              </w:rPr>
            </w:pPr>
            <w:r>
              <w:rPr>
                <w:rFonts w:hint="eastAsia" w:ascii="仿宋_GB2312" w:hAnsi="宋体" w:eastAsia="仿宋_GB2312" w:cs="仿宋_GB2312"/>
                <w:i w:val="0"/>
                <w:color w:val="auto"/>
                <w:kern w:val="0"/>
                <w:sz w:val="24"/>
                <w:szCs w:val="24"/>
                <w:u w:val="none"/>
                <w:lang w:val="en-US" w:eastAsia="zh-CN" w:bidi="ar"/>
              </w:rPr>
              <w:t>湿地保护。</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10F92">
            <w:pPr>
              <w:keepNext w:val="0"/>
              <w:keepLines w:val="0"/>
              <w:widowControl/>
              <w:suppressLineNumbers w:val="0"/>
              <w:jc w:val="center"/>
              <w:textAlignment w:val="center"/>
              <w:rPr>
                <w:rFonts w:hint="eastAsia" w:ascii="仿宋_GB2312" w:hAnsi="宋体" w:eastAsia="仿宋_GB2312" w:cs="仿宋_GB2312"/>
                <w:i w:val="0"/>
                <w:color w:val="auto"/>
                <w:kern w:val="2"/>
                <w:sz w:val="24"/>
                <w:szCs w:val="24"/>
                <w:u w:val="none"/>
                <w:lang w:val="en-US" w:eastAsia="zh-CN" w:bidi="ar-SA"/>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spacing w:val="-20"/>
                <w:w w:val="100"/>
                <w:kern w:val="0"/>
                <w:sz w:val="24"/>
                <w:szCs w:val="24"/>
                <w:u w:val="none"/>
                <w:lang w:val="en-US" w:eastAsia="zh-CN" w:bidi="ar"/>
              </w:rPr>
              <w:t>市生态环境局鄂托克前旗分局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18CDB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2"/>
                <w:sz w:val="24"/>
                <w:szCs w:val="24"/>
                <w:u w:val="none"/>
                <w:lang w:val="en-US" w:eastAsia="zh-CN" w:bidi="ar-SA"/>
              </w:rPr>
            </w:pP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配合提供第三次国土调查数据。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市生态环境局鄂托克前旗分局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对湿地保护情况进行监督检查，依法查处破坏湿地的违法行为。</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E6BF4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2"/>
                <w:sz w:val="24"/>
                <w:szCs w:val="24"/>
                <w:u w:val="none"/>
                <w:lang w:val="en-US" w:eastAsia="zh-CN" w:bidi="ar-SA"/>
              </w:rPr>
            </w:pPr>
          </w:p>
        </w:tc>
      </w:tr>
      <w:tr w14:paraId="5116168A">
        <w:tblPrEx>
          <w:tblCellMar>
            <w:top w:w="0" w:type="dxa"/>
            <w:left w:w="0" w:type="dxa"/>
            <w:bottom w:w="0" w:type="dxa"/>
            <w:right w:w="0" w:type="dxa"/>
          </w:tblCellMar>
        </w:tblPrEx>
        <w:trPr>
          <w:trHeight w:val="164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04E25">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81</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A81F65">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农村黑臭水体排查整治。</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EF3D3C">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spacing w:val="-20"/>
                <w:w w:val="100"/>
                <w:kern w:val="0"/>
                <w:sz w:val="24"/>
                <w:szCs w:val="24"/>
                <w:u w:val="none"/>
                <w:lang w:val="en-US" w:eastAsia="zh-CN" w:bidi="ar"/>
              </w:rPr>
              <w:t>市生态环境局鄂托克前旗分局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07014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市生态环境局鄂托克前旗分局：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1.对上报的疑似黑臭水体进行鉴定，确属整治范围迅速研究制定整治方案，落实整治任务；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2.对由企业造成的农村黑臭水体，进行查处并督促企业整治。</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履职保障：业务培训。</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B67F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1.开展黑臭水体摸排；</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2.对摸排发现的疑似黑臭水体问题，及时上报。</w:t>
            </w:r>
          </w:p>
        </w:tc>
      </w:tr>
      <w:tr w14:paraId="6C1D2ADC">
        <w:tblPrEx>
          <w:shd w:val="clear" w:color="auto" w:fill="auto"/>
          <w:tblCellMar>
            <w:top w:w="0" w:type="dxa"/>
            <w:left w:w="0" w:type="dxa"/>
            <w:bottom w:w="0" w:type="dxa"/>
            <w:right w:w="0" w:type="dxa"/>
          </w:tblCellMar>
        </w:tblPrEx>
        <w:trPr>
          <w:trHeight w:val="344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94321A">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auto"/>
                <w:kern w:val="2"/>
                <w:sz w:val="24"/>
                <w:szCs w:val="24"/>
                <w:u w:val="none"/>
                <w:lang w:val="en-US" w:eastAsia="zh-CN" w:bidi="ar-SA"/>
              </w:rPr>
            </w:pPr>
            <w:r>
              <w:rPr>
                <w:rFonts w:hint="eastAsia" w:ascii="Times New Roman Regular" w:hAnsi="Times New Roman Regular" w:eastAsia="Times New Roman Regular" w:cs="Times New Roman Regular"/>
                <w:i w:val="0"/>
                <w:color w:val="auto"/>
                <w:kern w:val="2"/>
                <w:sz w:val="24"/>
                <w:szCs w:val="24"/>
                <w:u w:val="none"/>
                <w:lang w:val="en-US" w:eastAsia="zh-CN" w:bidi="ar-SA"/>
              </w:rPr>
              <w:t>82</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925B22">
            <w:pPr>
              <w:keepNext w:val="0"/>
              <w:keepLines w:val="0"/>
              <w:widowControl/>
              <w:suppressLineNumbers w:val="0"/>
              <w:jc w:val="both"/>
              <w:textAlignment w:val="center"/>
              <w:rPr>
                <w:rFonts w:hint="eastAsia" w:ascii="仿宋_GB2312" w:hAnsi="宋体" w:eastAsia="仿宋_GB2312" w:cs="仿宋_GB2312"/>
                <w:i w:val="0"/>
                <w:color w:val="auto"/>
                <w:kern w:val="2"/>
                <w:sz w:val="24"/>
                <w:szCs w:val="24"/>
                <w:u w:val="none"/>
                <w:lang w:val="en-US" w:eastAsia="zh-CN" w:bidi="ar-SA"/>
              </w:rPr>
            </w:pPr>
            <w:r>
              <w:rPr>
                <w:rFonts w:hint="eastAsia" w:ascii="仿宋_GB2312" w:hAnsi="宋体" w:eastAsia="仿宋_GB2312" w:cs="仿宋_GB2312"/>
                <w:i w:val="0"/>
                <w:color w:val="auto"/>
                <w:kern w:val="0"/>
                <w:sz w:val="24"/>
                <w:szCs w:val="24"/>
                <w:u w:val="none"/>
                <w:lang w:val="en-US" w:eastAsia="zh-CN" w:bidi="ar"/>
              </w:rPr>
              <w:t>地下水保护与管理。</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76DD8D">
            <w:pPr>
              <w:keepNext w:val="0"/>
              <w:keepLines w:val="0"/>
              <w:widowControl/>
              <w:suppressLineNumbers w:val="0"/>
              <w:jc w:val="center"/>
              <w:textAlignment w:val="center"/>
              <w:rPr>
                <w:rFonts w:hint="eastAsia" w:ascii="仿宋_GB2312" w:hAnsi="宋体" w:eastAsia="仿宋_GB2312" w:cs="仿宋_GB2312"/>
                <w:i w:val="0"/>
                <w:color w:val="auto"/>
                <w:kern w:val="2"/>
                <w:sz w:val="24"/>
                <w:szCs w:val="24"/>
                <w:u w:val="none"/>
                <w:lang w:val="en-US" w:eastAsia="zh-CN" w:bidi="ar-SA"/>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8E0BF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2"/>
                <w:sz w:val="24"/>
                <w:szCs w:val="24"/>
                <w:u w:val="none"/>
                <w:lang w:val="en-US" w:eastAsia="zh-CN" w:bidi="ar-SA"/>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1.编制地下水保护利用规划，定期组织开展地下水资源调查评价工作，牵头制定本地区的地下水取水总量控制指标和地下水水位控制指标；</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2.建立健全地下水监测网络，对地下水的水位、水量、水质等进行实时监测；</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3.对取用地下水的行为进行审批；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4.根据地下水的开采状况和水位变化情况，组织划定本地区的地下水超采区，会同相关部门制定超采综合治理方案；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5.定期组织开展本地区地下水取水工程核查，负责本地区地下水应急备用水源的管理，制定应急预案；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6.依法查处违法开采地下水行为；</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7.对农牧业用水进行统计和分析，掌握农牧业用水的总量、结构和分布情况，为制定地下水保护和管理措施提供数据支持；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8.推广农牧业节水技术和措施，加强对农牧业生产活动的监管；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9.安装“井电双控”取水计量设施；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10.对涉及地下水的建设项目进行用地审批时，严格审查项目对地下水可能产生的影响。</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AC22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2"/>
                <w:sz w:val="24"/>
                <w:szCs w:val="24"/>
                <w:u w:val="none"/>
                <w:lang w:val="en-US" w:eastAsia="zh-CN" w:bidi="ar-SA"/>
              </w:rPr>
            </w:pPr>
            <w:r>
              <w:rPr>
                <w:rFonts w:hint="eastAsia" w:ascii="仿宋_GB2312" w:hAnsi="宋体" w:eastAsia="仿宋_GB2312" w:cs="仿宋_GB2312"/>
                <w:i w:val="0"/>
                <w:color w:val="auto"/>
                <w:kern w:val="0"/>
                <w:sz w:val="24"/>
                <w:szCs w:val="24"/>
                <w:u w:val="none"/>
                <w:lang w:val="en-US" w:eastAsia="zh-CN" w:bidi="ar"/>
              </w:rPr>
              <w:t>1.开展地下水保护宣传活动；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2.指导各嘎查村（社区）采取防渗漏措施，防止集中堆存、掩埋的垃圾污染地下水；</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3.加强辖区内地下水保护的常态化日常检查，及时上报破坏地下水保护的违法线索。</w:t>
            </w:r>
          </w:p>
        </w:tc>
      </w:tr>
      <w:tr w14:paraId="46D34673">
        <w:tblPrEx>
          <w:tblCellMar>
            <w:top w:w="0" w:type="dxa"/>
            <w:left w:w="0" w:type="dxa"/>
            <w:bottom w:w="0" w:type="dxa"/>
            <w:right w:w="0" w:type="dxa"/>
          </w:tblCellMar>
        </w:tblPrEx>
        <w:trPr>
          <w:trHeight w:val="240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AEEADC">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auto"/>
                <w:kern w:val="0"/>
                <w:sz w:val="24"/>
                <w:szCs w:val="24"/>
                <w:u w:val="none"/>
                <w:lang w:val="en-US" w:eastAsia="zh-CN" w:bidi="ar"/>
              </w:rPr>
            </w:pPr>
            <w:r>
              <w:rPr>
                <w:rFonts w:hint="eastAsia" w:ascii="Times New Roman Regular" w:hAnsi="Times New Roman Regular" w:eastAsia="Times New Roman Regular" w:cs="Times New Roman Regular"/>
                <w:i w:val="0"/>
                <w:color w:val="auto"/>
                <w:kern w:val="0"/>
                <w:sz w:val="24"/>
                <w:szCs w:val="24"/>
                <w:u w:val="none"/>
                <w:lang w:val="en-US" w:eastAsia="zh-CN" w:bidi="ar"/>
              </w:rPr>
              <w:t>82</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0D89D">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地下水保护与管理。</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61BFF8">
            <w:pPr>
              <w:keepNext w:val="0"/>
              <w:keepLines w:val="0"/>
              <w:widowControl/>
              <w:suppressLineNumbers w:val="0"/>
              <w:jc w:val="center"/>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EA9C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1.制定与地下水保护相关的工业和科技发展规划；</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2.筛选出适合本地区工业企业的节水技术、地下水污染防治技术、地下水监测技术等；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3.向工业企业推广先进的地下水保护和管理技术；</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4.对工业企业的用水情况进行监督管理，鼓励工业企业进行转型升级，发展低耗水、无污染的产业。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1.制定区域内的国土空间规划，充分考虑地下水资源的承载能力和保护需求，确保各类建设项目的布局与地下水资源保护相适应；</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2.监督矿业企业的开采活动，防止因矿产开采导致地下水含水层破坏、地下水污染等问题。</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1.制定林业和草原生态保护规划，充分考虑地下水对植被生长和生态系统稳定的重要性；</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2.合理规划植被种植区域和树种选择，确保植被的生长不会对地下水资源造成过度消耗；</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3.加强对森林和草原植被的管理，维护植被的生态功能，促进地下水的涵养和补给。</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1.监督城市建设项目的施工过程，防止施工活动破坏地下水管道、监测设施等；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2.要求施工单位采取有效的防护措施，避免施工废水、废渣等对地下水造成污染。</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履职保障：1.技术培训；2.政策支持；3.资金保障。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7153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p>
        </w:tc>
      </w:tr>
      <w:tr w14:paraId="4D098F9B">
        <w:tblPrEx>
          <w:tblCellMar>
            <w:top w:w="0" w:type="dxa"/>
            <w:left w:w="0" w:type="dxa"/>
            <w:bottom w:w="0" w:type="dxa"/>
            <w:right w:w="0" w:type="dxa"/>
          </w:tblCellMar>
        </w:tblPrEx>
        <w:trPr>
          <w:trHeight w:val="2232"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FC56D">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83</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2891A1">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地下水超采区综合治理。</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ABCE28">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47ECC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1.制定方案；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2.组织落实；</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3.督查检查；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4.跟踪问效。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履职保障：业务培训。</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22013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1.开展地下水超采区综合治理相关政策措施的宣传；</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2.配合在超采区内落实相关治理措施，如：休耕地块，组织签订休耕协议、发放休耕补贴。</w:t>
            </w:r>
          </w:p>
        </w:tc>
      </w:tr>
      <w:tr w14:paraId="3AF726C9">
        <w:tblPrEx>
          <w:shd w:val="clear" w:color="auto" w:fill="auto"/>
          <w:tblCellMar>
            <w:top w:w="0" w:type="dxa"/>
            <w:left w:w="0" w:type="dxa"/>
            <w:bottom w:w="0" w:type="dxa"/>
            <w:right w:w="0" w:type="dxa"/>
          </w:tblCellMar>
        </w:tblPrEx>
        <w:trPr>
          <w:trHeight w:val="326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5696F">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84</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02950">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突发生态环境事件应急处置。</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8C1203">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spacing w:val="-20"/>
                <w:w w:val="100"/>
                <w:kern w:val="0"/>
                <w:sz w:val="24"/>
                <w:szCs w:val="24"/>
                <w:u w:val="none"/>
                <w:lang w:val="en-US" w:eastAsia="zh-CN" w:bidi="ar"/>
              </w:rPr>
              <w:t>市生态环境局鄂托克前旗分局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955C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市生态环境局鄂托克前旗分局：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1.发布环境污染预警信息、启动应急措施；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2.按照信息报送机制，及时上报；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3.根据应急预案的级别开展突发环境事件的调查处置。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14290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1.第一时间赴现场开展人员疏散、应急物资调配和群众情绪安抚工作，及时上报现场具体情况；</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2.疏散周边群众，防止二次灾害带来损失，同时做好舆情防控工作；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3.根据现场实际情况，在相关部门的指导下，开展突发环境事件前期处置工作，避免事态进一步扩大；</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4.上级相关部门到达现场后，将指挥权交接，配合做好突发环境事件的应急处置工作；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5.配合有关部门对事件造成的影响和损失进行评估，并及时将评估结果向社会公布。</w:t>
            </w:r>
          </w:p>
        </w:tc>
      </w:tr>
      <w:tr w14:paraId="03A4DF1F">
        <w:tblPrEx>
          <w:tblCellMar>
            <w:top w:w="0" w:type="dxa"/>
            <w:left w:w="0" w:type="dxa"/>
            <w:bottom w:w="0" w:type="dxa"/>
            <w:right w:w="0" w:type="dxa"/>
          </w:tblCellMar>
        </w:tblPrEx>
        <w:trPr>
          <w:trHeight w:val="192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63BD2">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85</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0640B2">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国家级公益林的保护和管理。</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7DAF9">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EB04F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1.组织公益林经营者采取林分改造、森林抚育等措施，提高公益林的质量和生态保护功能；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2.合理利用公益林林地资源和森林景观资源，适度开展林下经济、森林旅游等；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3.接到镇上报的问题及时进行处置；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4.发放公益林补贴资金。</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履职保障：1.技术指导；2.业务培训。</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A6659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1.指导嘎查村建立管护机制；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2.发现问题及时制止并上报（巡护森林，发现火情、林业有害生物以及破坏森林资源的行为，应当及时处理并向林业等有关部门报告）；</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3.录入公益林补贴资金清册并上报。</w:t>
            </w:r>
          </w:p>
        </w:tc>
      </w:tr>
      <w:tr w14:paraId="5EC6C30E">
        <w:tblPrEx>
          <w:shd w:val="clear" w:color="auto" w:fill="auto"/>
          <w:tblCellMar>
            <w:top w:w="0" w:type="dxa"/>
            <w:left w:w="0" w:type="dxa"/>
            <w:bottom w:w="0" w:type="dxa"/>
            <w:right w:w="0" w:type="dxa"/>
          </w:tblCellMar>
        </w:tblPrEx>
        <w:trPr>
          <w:trHeight w:val="1766"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92CC81">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86</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E1076">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森林资源、珍稀林木资源、古树名木保护。</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79E20B">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96EB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1.根据实际需要建设护林设施，加强森林资源保护；</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2.将珍稀林木资源的保护列入生态建设规划重点予以保护建设，鼓励和支持对珍稀林木资源的保护、引进、培植、发展和科学研究；</w:t>
            </w:r>
          </w:p>
          <w:p w14:paraId="2675D6A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3.督促相关组织订立护林公约；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4.组织群众护林、划定护林责任区、配备专职或者兼职护林员；</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5.及时处理镇上报的破坏森林资源违法行为。</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履职保障：1.业务培训；2.资金保障。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2C0D3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1.宣传森林资源、珍稀林木资源、古树名木保护相关政策和法律法规；</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2.开展日常巡查，对发现的违法违规行为及时制止并上报。</w:t>
            </w:r>
          </w:p>
        </w:tc>
      </w:tr>
      <w:tr w14:paraId="6D8739E6">
        <w:tblPrEx>
          <w:shd w:val="clear" w:color="auto" w:fill="auto"/>
          <w:tblCellMar>
            <w:top w:w="0" w:type="dxa"/>
            <w:left w:w="0" w:type="dxa"/>
            <w:bottom w:w="0" w:type="dxa"/>
            <w:right w:w="0" w:type="dxa"/>
          </w:tblCellMar>
        </w:tblPrEx>
        <w:trPr>
          <w:trHeight w:val="162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9A8518">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87</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51A7A">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森林草原鼠虫害、毒害草监测预警、调查以及防治。</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B39010">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3A035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1.编制森林草原鼠虫害、毒害草监测预警方案；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2.调查森林草原鼠虫害、毒害草；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3.根据镇上报的问题开展防治工作。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履职保障：1.技术指导；2.业务培训。</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8F29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1.宣传森林草原鼠虫害、毒害草防治知识；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2.日常巡查，发现问题及时上报。</w:t>
            </w:r>
          </w:p>
        </w:tc>
      </w:tr>
      <w:tr w14:paraId="0E294C27">
        <w:tblPrEx>
          <w:shd w:val="clear" w:color="auto" w:fill="auto"/>
          <w:tblCellMar>
            <w:top w:w="0" w:type="dxa"/>
            <w:left w:w="0" w:type="dxa"/>
            <w:bottom w:w="0" w:type="dxa"/>
            <w:right w:w="0" w:type="dxa"/>
          </w:tblCellMar>
        </w:tblPrEx>
        <w:trPr>
          <w:trHeight w:val="2736"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86FDF">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88</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F49D2">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草原生态保护补助奖励资金的发放。</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5C46D">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旗财政局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8081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1.编制草原生态保护补助实施方案，确定补助对象和补助面积；</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2.加强对政策任务和资金落实情况的监督检查。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旗财政局：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1.根据草原补奖政策资金分配情况，设立草原补奖资金专账；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2.根据清册拨付资金。</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履职保障：1.技术指导；2.业务培训。</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ACDE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1.开展政策宣传，对草原补奖政策内容进行解读；</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2.核对草原确权情况；</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3.根据确权情况录入清册并上报。</w:t>
            </w:r>
          </w:p>
        </w:tc>
      </w:tr>
      <w:tr w14:paraId="315021F4">
        <w:tblPrEx>
          <w:tblCellMar>
            <w:top w:w="0" w:type="dxa"/>
            <w:left w:w="0" w:type="dxa"/>
            <w:bottom w:w="0" w:type="dxa"/>
            <w:right w:w="0" w:type="dxa"/>
          </w:tblCellMar>
        </w:tblPrEx>
        <w:trPr>
          <w:trHeight w:val="3943"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7B76A7">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89</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469BDC">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森林、草原疑似违法违规图斑的核查、处置与整改。</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C828F3">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378F7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1.接收上级下发的图斑数据，及时分发至相关镇等责任单位；</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2.对镇上报的实地核查情况进行复核，对合法或违法进行定性，根据各镇提交的图斑核查台账，将图斑分为合法、违法图斑台账；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3.按照职责权限，移交执法部门进行查处；</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4.督促图斑属地镇及违法责任人按照整改要求，在规定时间内完成整改任务，对整改情况进行跟踪检查，确保整改措施得到有效落实；</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5.根据镇提供的佐证材料，收集好合法及违法图斑的佐证材料，提请上级单位对图斑进行销号。</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履职保障：1.业务培训；2.设备支持；3.资金保障。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367CE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1.对收到的图斑进行实地核查；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2.将图斑的核实情况反馈至林业和草原局；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3.协助推进违法图斑的植被恢复，并在完成整改后，对图斑地块进行植被验收，恢复不合格的图斑督促责任人进行整改；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4.整理合法图斑说明、佐证材料及植被恢复验收报告并上报。</w:t>
            </w:r>
          </w:p>
        </w:tc>
      </w:tr>
      <w:tr w14:paraId="0F92553B">
        <w:tblPrEx>
          <w:tblCellMar>
            <w:top w:w="0" w:type="dxa"/>
            <w:left w:w="0" w:type="dxa"/>
            <w:bottom w:w="0" w:type="dxa"/>
            <w:right w:w="0" w:type="dxa"/>
          </w:tblCellMar>
        </w:tblPrEx>
        <w:trPr>
          <w:trHeight w:val="2988"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570A72">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90</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EF980">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野生动物保护管理。</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B691BE">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AA55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1.负责野生动物保护的宣传教育和科学知识普及工作；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2.根据野生动物的分布、栖息地状况、人工繁育现状，组织制定并实施保护规划和措施，建立健全野生动物资源保护管理体系；</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3.对上报的违反野生动物保护法的行为进行调查；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4.对野生动物进行救治。</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履职保障：1.技术指导；2.业务培训。</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0161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1.加强野生动物保护的宣传教育工作；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2.开展日常巡查工作，及时发现并制止破坏野生动物资源的违法行为；</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3.发现违反野生动物保护的行为及时上报并配合查处；</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4.对于野生动物危害村民人身财产安全的情况及时上报。</w:t>
            </w:r>
          </w:p>
        </w:tc>
      </w:tr>
      <w:tr w14:paraId="0B9164FE">
        <w:tblPrEx>
          <w:shd w:val="clear" w:color="auto" w:fill="auto"/>
          <w:tblCellMar>
            <w:top w:w="0" w:type="dxa"/>
            <w:left w:w="0" w:type="dxa"/>
            <w:bottom w:w="0" w:type="dxa"/>
            <w:right w:w="0" w:type="dxa"/>
          </w:tblCellMar>
        </w:tblPrEx>
        <w:trPr>
          <w:trHeight w:val="554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4C8B93">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91</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8CD036">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森林草原火灾及其他火灾的扑救、救援、火灾事故调查与善后处理。</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F0C4B6">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旗消防救援大队</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EF915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承担旗森林草原防灭火指挥部日常工作，负责综合协调森林草原火灾防控工作，按规定权限负责火灾预警监测和信息发布，组织指导协调火灾扑救工作及善后处理工作。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负责组建护林员队伍、火灾预防和排查，开展宣传教育、防火巡护、火源管理、日常检查、防火设施建设、火情早期处理和火灾事故调查等工作。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负责火场警戒、交通疏导、治安维护、火案侦破，协同林业和草原局开展防火宣传、火灾隐患排查、重点区域巡护、违规用火处罚等工作。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指导镇组建防火灭火力量，负责火灾扑救工作及其他火灾事故调查。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履职保障：1.业务培训；2.物资保障；3.资金保障。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55FBC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1.配合组建护林员队伍和防火灭火力量，储备必要的灭火物资；</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2.一旦发现火情，立即报警，并详细报告火灾地点、火势大小、燃烧物质以及是否有人员被困等信息；</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3.在消防救援大队到达之前，如果火势较小，保证安全的前提下，组织人员使用灭火器等消防器材进行初期扑救，扑救时要遵循“先控制、后消灭”的原则，注意个人安全防护；</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4.在消防车可能驶来的方向派人守候接车，开道引路，确保消防车能够迅速到达火灾现场；</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5.消防人员到场后，要及时向他们介绍火场情况，包括具体燃烧部位、火势蔓延情况、有无人员被困、有无爆炸或毒害物品等；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6.协助消防人员疏散被困人员，维护现场秩序；</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7.协助进行灾后调查，保护火灾现场以便调查取证；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8.协助进行善后处理；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9.根据需要，组织人员和调集物资，征用单位和个人的车辆、器材和其他物资；</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10.补偿单位专职消防队、志愿消防队参加本镇火灾救援和应急救援产生的损耗；</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11.统计灾情损失并上报。</w:t>
            </w:r>
          </w:p>
        </w:tc>
      </w:tr>
      <w:tr w14:paraId="53E9B4B7">
        <w:tblPrEx>
          <w:shd w:val="clear" w:color="auto" w:fill="auto"/>
          <w:tblCellMar>
            <w:top w:w="0" w:type="dxa"/>
            <w:left w:w="0" w:type="dxa"/>
            <w:bottom w:w="0" w:type="dxa"/>
            <w:right w:w="0" w:type="dxa"/>
          </w:tblCellMar>
        </w:tblPrEx>
        <w:trPr>
          <w:trHeight w:val="240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A80BC5">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4"/>
                <w:szCs w:val="24"/>
                <w:u w:val="none"/>
                <w:lang w:val="en-US" w:eastAsia="zh-CN"/>
              </w:rPr>
            </w:pPr>
            <w:r>
              <w:rPr>
                <w:rFonts w:hint="eastAsia" w:ascii="Times New Roman Regular" w:hAnsi="Times New Roman Regular" w:eastAsia="宋体" w:cs="Times New Roman Regular"/>
                <w:i w:val="0"/>
                <w:color w:val="auto"/>
                <w:sz w:val="24"/>
                <w:szCs w:val="24"/>
                <w:u w:val="none"/>
                <w:lang w:val="en-US" w:eastAsia="zh-CN"/>
              </w:rPr>
              <w:t>92</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79D42">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露天秸秆焚烧监管和秸秆综合利用。</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10B41D">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spacing w:val="-20"/>
                <w:w w:val="100"/>
                <w:kern w:val="0"/>
                <w:sz w:val="24"/>
                <w:szCs w:val="24"/>
                <w:u w:val="none"/>
                <w:lang w:val="en-US" w:eastAsia="zh-CN" w:bidi="ar"/>
              </w:rPr>
              <w:t>市生态环境局鄂托克前旗分局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71D60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1.鼓励和支持采用先进适用技术，对秸秆、落叶等进行肥料化、饲料化、能源化、工业原料化、食用菌基料化等综合利用；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2.加大对秸秆还田、收集一体化农业机械的财政补贴力度。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市生态环境局鄂托克前旗分局：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对镇上报的秸秆焚烧问题进行处理。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履职保障：1.技术指导；2.资金保障。</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EC981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1.加强禁止露天焚烧农作物秸秆的宣传教育；</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2.开展日常巡查，发现秸秆焚烧行为及时制止并报告。</w:t>
            </w:r>
          </w:p>
        </w:tc>
      </w:tr>
      <w:tr w14:paraId="7B5B9D17">
        <w:tblPrEx>
          <w:shd w:val="clear" w:color="auto" w:fill="auto"/>
          <w:tblCellMar>
            <w:top w:w="0" w:type="dxa"/>
            <w:left w:w="0" w:type="dxa"/>
            <w:bottom w:w="0" w:type="dxa"/>
            <w:right w:w="0" w:type="dxa"/>
          </w:tblCellMar>
        </w:tblPrEx>
        <w:trPr>
          <w:trHeight w:val="600" w:hRule="atLeast"/>
        </w:trPr>
        <w:tc>
          <w:tcPr>
            <w:tcW w:w="1541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C9C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宋体" w:eastAsia="黑体" w:cs="黑体"/>
                <w:i w:val="0"/>
                <w:color w:val="auto"/>
                <w:sz w:val="28"/>
                <w:szCs w:val="28"/>
                <w:u w:val="none"/>
              </w:rPr>
            </w:pPr>
            <w:r>
              <w:rPr>
                <w:rFonts w:hint="eastAsia" w:ascii="黑体" w:hAnsi="宋体" w:eastAsia="黑体" w:cs="黑体"/>
                <w:i w:val="0"/>
                <w:color w:val="auto"/>
                <w:kern w:val="0"/>
                <w:sz w:val="28"/>
                <w:szCs w:val="28"/>
                <w:u w:val="none"/>
                <w:lang w:val="en-US" w:eastAsia="zh-CN" w:bidi="ar"/>
              </w:rPr>
              <w:t>八、文化和旅游（</w:t>
            </w:r>
            <w:r>
              <w:rPr>
                <w:rFonts w:hint="eastAsia" w:ascii="黑体" w:hAnsi="宋体" w:eastAsia="黑体" w:cs="黑体"/>
                <w:i w:val="0"/>
                <w:color w:val="000000"/>
                <w:kern w:val="0"/>
                <w:sz w:val="28"/>
                <w:szCs w:val="28"/>
                <w:u w:val="none"/>
                <w:lang w:val="en-US" w:eastAsia="zh-CN" w:bidi="ar"/>
              </w:rPr>
              <w:t>2</w:t>
            </w:r>
            <w:r>
              <w:rPr>
                <w:rFonts w:hint="eastAsia" w:ascii="黑体" w:hAnsi="宋体" w:eastAsia="黑体" w:cs="黑体"/>
                <w:i w:val="0"/>
                <w:color w:val="auto"/>
                <w:kern w:val="0"/>
                <w:sz w:val="28"/>
                <w:szCs w:val="28"/>
                <w:u w:val="none"/>
                <w:lang w:val="en-US" w:eastAsia="zh-CN" w:bidi="ar"/>
              </w:rPr>
              <w:t>项）</w:t>
            </w:r>
          </w:p>
        </w:tc>
      </w:tr>
      <w:tr w14:paraId="6476B1D3">
        <w:tblPrEx>
          <w:tblCellMar>
            <w:top w:w="0" w:type="dxa"/>
            <w:left w:w="0" w:type="dxa"/>
            <w:bottom w:w="0" w:type="dxa"/>
            <w:right w:w="0" w:type="dxa"/>
          </w:tblCellMar>
        </w:tblPrEx>
        <w:trPr>
          <w:trHeight w:val="25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A85C5">
            <w:pPr>
              <w:keepNext w:val="0"/>
              <w:keepLines w:val="0"/>
              <w:widowControl/>
              <w:suppressLineNumbers w:val="0"/>
              <w:jc w:val="center"/>
              <w:textAlignment w:val="center"/>
              <w:rPr>
                <w:rFonts w:hint="default" w:ascii="Times New Roman Regular" w:hAnsi="Times New Roman Regular" w:eastAsia="Times New Roman Regular" w:cs="Times New Roman Regular"/>
                <w:i w:val="0"/>
                <w:color w:val="auto"/>
                <w:sz w:val="28"/>
                <w:szCs w:val="28"/>
                <w:u w:val="none"/>
                <w:lang w:val="en-US"/>
              </w:rPr>
            </w:pPr>
            <w:r>
              <w:rPr>
                <w:rFonts w:hint="eastAsia" w:ascii="Times New Roman Regular" w:hAnsi="Times New Roman Regular" w:eastAsia="Times New Roman Regular" w:cs="Times New Roman Regular"/>
                <w:i w:val="0"/>
                <w:color w:val="auto"/>
                <w:kern w:val="0"/>
                <w:sz w:val="28"/>
                <w:szCs w:val="28"/>
                <w:u w:val="none"/>
                <w:lang w:val="en-US" w:eastAsia="zh-CN" w:bidi="ar"/>
              </w:rPr>
              <w:t>93</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68C25">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开展“大沙头”“三段地工委”等不可移动文物巡查保护管理。</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0AC27F">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旗文化和旅游局</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99FB6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旗文化和旅游局：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1.组织开展不可移动文物的调查、登记、认定、公布等工作；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2.制定并实施不可移动文物保护规划和相关政策；</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3.审批涉及不可移动文物的建设工程，确保工程不会对文物造成破坏；</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4.组织不可移动文物保护工程的实施，监督工程质量；</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5.对不可移动文物的保护状况进行监督检查，依法查处违法行为；</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6.组织开展不可移动文物保护的宣传教育和培训工作，提高公众的文物保护意识。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E7823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1.不可移动文物的日常巡查和保护；</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2.及时报告不可移动文物保护中的问题和安全隐患；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3.配合开展不可移动文物的调查、登记、认定、公布等工作；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4.加强不可移动文物的宣传保护工作，提高群众的保护意识。</w:t>
            </w:r>
          </w:p>
        </w:tc>
      </w:tr>
      <w:tr w14:paraId="4982C1C1">
        <w:tblPrEx>
          <w:tblCellMar>
            <w:top w:w="0" w:type="dxa"/>
            <w:left w:w="0" w:type="dxa"/>
            <w:bottom w:w="0" w:type="dxa"/>
            <w:right w:w="0" w:type="dxa"/>
          </w:tblCellMar>
        </w:tblPrEx>
        <w:trPr>
          <w:trHeight w:val="230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BA150C">
            <w:pPr>
              <w:keepNext w:val="0"/>
              <w:keepLines w:val="0"/>
              <w:widowControl/>
              <w:suppressLineNumbers w:val="0"/>
              <w:jc w:val="center"/>
              <w:textAlignment w:val="center"/>
              <w:rPr>
                <w:rFonts w:hint="default" w:ascii="Times New Roman Regular" w:hAnsi="Times New Roman Regular" w:eastAsia="宋体" w:cs="Times New Roman Regular"/>
                <w:i w:val="0"/>
                <w:color w:val="auto"/>
                <w:sz w:val="28"/>
                <w:szCs w:val="28"/>
                <w:u w:val="none"/>
                <w:lang w:val="en-US" w:eastAsia="zh-CN"/>
              </w:rPr>
            </w:pPr>
            <w:r>
              <w:rPr>
                <w:rFonts w:hint="eastAsia" w:ascii="Times New Roman Regular" w:hAnsi="Times New Roman Regular" w:eastAsia="宋体" w:cs="Times New Roman Regular"/>
                <w:i w:val="0"/>
                <w:color w:val="auto"/>
                <w:sz w:val="28"/>
                <w:szCs w:val="28"/>
                <w:u w:val="none"/>
                <w:lang w:val="en-US" w:eastAsia="zh-CN"/>
              </w:rPr>
              <w:t>94</w:t>
            </w:r>
          </w:p>
        </w:tc>
        <w:tc>
          <w:tcPr>
            <w:tcW w:w="1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53AD1D">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应急广播运行和维护工作。</w:t>
            </w:r>
          </w:p>
        </w:tc>
        <w:tc>
          <w:tcPr>
            <w:tcW w:w="2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43B4AB">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旗委宣传部</w:t>
            </w:r>
          </w:p>
        </w:tc>
        <w:tc>
          <w:tcPr>
            <w:tcW w:w="52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EC3BE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旗委宣传部：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1.负责制定和调整本地应急广播体系建设规划，负责本行政区域内的应急广播建设、运行和管理；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2.发布应急信息；</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3.确定应急广播播出的信息类别、内容和发布范围；</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4.落实应急广播运行维护机制，保证应急广播顺利开展；</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5.组织协调本地区的应急广播统计信息和数据上报工作。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4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95EF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1.开展信息传递工作；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2.配合宣传部确定应急广播终端设备安装位置；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3.指导嘎查村做好应急广播终端设备管理和电源保障工作。</w:t>
            </w:r>
          </w:p>
        </w:tc>
      </w:tr>
      <w:tr w14:paraId="3BF79150">
        <w:tblPrEx>
          <w:tblCellMar>
            <w:top w:w="0" w:type="dxa"/>
            <w:left w:w="0" w:type="dxa"/>
            <w:bottom w:w="0" w:type="dxa"/>
            <w:right w:w="0" w:type="dxa"/>
          </w:tblCellMar>
        </w:tblPrEx>
        <w:trPr>
          <w:trHeight w:val="672" w:hRule="atLeast"/>
        </w:trPr>
        <w:tc>
          <w:tcPr>
            <w:tcW w:w="1541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47D79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注：1.根据清单工作整体部署将适时对清单内容进行修订。2.*标注事项为本镇所承担的执法事项。</w:t>
            </w:r>
          </w:p>
        </w:tc>
      </w:tr>
    </w:tbl>
    <w:p w14:paraId="67D6E11A"/>
    <w:sectPr>
      <w:pgSz w:w="16838" w:h="11906" w:orient="landscape"/>
      <w:pgMar w:top="720" w:right="720" w:bottom="720" w:left="720" w:header="680" w:footer="45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6A90AAC-0EA5-48DA-836E-4D012591C55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embedRegular r:id="rId2" w:fontKey="{98D5409E-F303-432B-9BCE-3F02F1F003BF}"/>
  </w:font>
  <w:font w:name="方正小标宋简体">
    <w:panose1 w:val="02000000000000000000"/>
    <w:charset w:val="86"/>
    <w:family w:val="auto"/>
    <w:pitch w:val="default"/>
    <w:sig w:usb0="00000001" w:usb1="08000000" w:usb2="00000000" w:usb3="00000000" w:csb0="00040000" w:csb1="00000000"/>
    <w:embedRegular r:id="rId3" w:fontKey="{F27501FD-079A-48E3-ADF5-3995BB376FF9}"/>
  </w:font>
  <w:font w:name="Times New Roman Regular">
    <w:altName w:val="Times New Roman"/>
    <w:panose1 w:val="00000000000000000000"/>
    <w:charset w:val="00"/>
    <w:family w:val="auto"/>
    <w:pitch w:val="default"/>
    <w:sig w:usb0="00000000" w:usb1="00000000" w:usb2="00000000" w:usb3="00000000" w:csb0="00000000" w:csb1="00000000"/>
    <w:embedRegular r:id="rId4" w:fontKey="{D462DDF8-506E-4B85-B7FE-F73D58DC0275}"/>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ED43C4"/>
    <w:rsid w:val="048B6A7E"/>
    <w:rsid w:val="057C741F"/>
    <w:rsid w:val="0D3A12C6"/>
    <w:rsid w:val="0D940B07"/>
    <w:rsid w:val="11104A18"/>
    <w:rsid w:val="16ED5724"/>
    <w:rsid w:val="232A678B"/>
    <w:rsid w:val="2DDA345B"/>
    <w:rsid w:val="2E6968FF"/>
    <w:rsid w:val="404D4E30"/>
    <w:rsid w:val="4A7559FB"/>
    <w:rsid w:val="4FD00A36"/>
    <w:rsid w:val="505A7E7F"/>
    <w:rsid w:val="550B6816"/>
    <w:rsid w:val="596969B9"/>
    <w:rsid w:val="607A369B"/>
    <w:rsid w:val="640D5E3A"/>
    <w:rsid w:val="65ED43C4"/>
    <w:rsid w:val="6F3D605F"/>
    <w:rsid w:val="75DF25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51"/>
    <w:basedOn w:val="5"/>
    <w:qFormat/>
    <w:uiPriority w:val="0"/>
    <w:rPr>
      <w:rFonts w:hint="eastAsia" w:ascii="仿宋_GB2312" w:eastAsia="仿宋_GB2312" w:cs="仿宋_GB2312"/>
      <w:color w:val="000000"/>
      <w:sz w:val="24"/>
      <w:szCs w:val="24"/>
      <w:u w:val="none"/>
    </w:rPr>
  </w:style>
  <w:style w:type="character" w:customStyle="1" w:styleId="7">
    <w:name w:val="font112"/>
    <w:basedOn w:val="5"/>
    <w:qFormat/>
    <w:uiPriority w:val="0"/>
    <w:rPr>
      <w:rFonts w:hint="eastAsia" w:ascii="仿宋_GB2312" w:eastAsia="仿宋_GB2312" w:cs="仿宋_GB2312"/>
      <w:color w:val="000000"/>
      <w:sz w:val="24"/>
      <w:szCs w:val="24"/>
      <w:u w:val="none"/>
    </w:rPr>
  </w:style>
  <w:style w:type="character" w:customStyle="1" w:styleId="8">
    <w:name w:val="font231"/>
    <w:basedOn w:val="5"/>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39</Pages>
  <Words>20808</Words>
  <Characters>21480</Characters>
  <Lines>0</Lines>
  <Paragraphs>0</Paragraphs>
  <TotalTime>1</TotalTime>
  <ScaleCrop>false</ScaleCrop>
  <LinksUpToDate>false</LinksUpToDate>
  <CharactersWithSpaces>21482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2025-08-25T16:31:00Z</dcterms:created>
  <dc:creator>Administrator</dc:creator>
  <cp:lastModifiedBy>Z。</cp:lastModifiedBy>
  <dcterms:modified xsi:type="dcterms:W3CDTF">2025-09-02T03:44:06Z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E7FE54CB8F96339D695DB168B31FB386_42</vt:lpwstr>
  </property>
  <property fmtid="{D5CDD505-2E9C-101B-9397-08002B2CF9AE}" pid="4" name="KSOTemplateDocerSaveRecord">
    <vt:lpwstr>eyJoZGlkIjoiMGZlMTYxNjVlNTQ1MjdjN2JhNDE2N2E4ZTc1MjI3Y2UiLCJ1c2VySWQiOiIyNzA2MzM5OTIifQ==</vt:lpwstr>
  </property>
</Properties>
</file>