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80E0E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鄂托克前旗农牧和水利局关于征求《鄂托克</w:t>
      </w:r>
    </w:p>
    <w:p w14:paraId="7BB32B9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前旗2025—2030年农牧业“四化”</w:t>
      </w:r>
    </w:p>
    <w:p w14:paraId="1E7F7AE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发展行动方案（征求意见稿）》</w:t>
      </w:r>
    </w:p>
    <w:p w14:paraId="40979B2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方正小标宋简体" w:cs="Times New Roman"/>
          <w:sz w:val="44"/>
          <w:szCs w:val="44"/>
          <w:lang w:val="en-US" w:eastAsia="zh-CN"/>
        </w:rPr>
        <w:t>意见建议</w:t>
      </w:r>
    </w:p>
    <w:p w14:paraId="7D03FF8A">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p>
    <w:p w14:paraId="0D08A17F">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社会各界：</w:t>
      </w:r>
    </w:p>
    <w:p w14:paraId="69CBC6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为深入贯彻落实习近平总书记关于“三农”工作重要论述、对内蒙古的重要讲话指示批示精神以及党的二十大关于全面推进乡村振兴的战略部署，结合我旗自身实际，草拟了《鄂托克前旗2025—2030年农牧业“四化”发展行动方案（征求意见稿）》。现就该方案向社会各界征求意见，如有意见请于2025年12月3日下班前将意见建议反馈给我局。</w:t>
      </w:r>
    </w:p>
    <w:p w14:paraId="0D33665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联系人：樊译泽    联系电话：15149438162</w:t>
      </w:r>
    </w:p>
    <w:p w14:paraId="7BB64E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邮箱：865521110@gq.com。</w:t>
      </w:r>
    </w:p>
    <w:p w14:paraId="6345532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p>
    <w:p w14:paraId="139203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附件：鄂托克前旗2025—2030年农牧业“四化”发展行</w:t>
      </w:r>
    </w:p>
    <w:p w14:paraId="2F815ADC">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动方案（征求意见稿）</w:t>
      </w:r>
    </w:p>
    <w:p w14:paraId="3193503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p>
    <w:p w14:paraId="7D04E126">
      <w:pPr>
        <w:keepNext w:val="0"/>
        <w:keepLines w:val="0"/>
        <w:pageBreakBefore w:val="0"/>
        <w:widowControl w:val="0"/>
        <w:kinsoku/>
        <w:wordWrap/>
        <w:overflowPunct/>
        <w:topLinePunct w:val="0"/>
        <w:autoSpaceDE/>
        <w:autoSpaceDN/>
        <w:bidi w:val="0"/>
        <w:adjustRightInd/>
        <w:snapToGrid/>
        <w:spacing w:line="560" w:lineRule="exact"/>
        <w:ind w:firstLine="3840" w:firstLineChars="1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鄂托克前旗农牧和水利局</w:t>
      </w:r>
    </w:p>
    <w:p w14:paraId="3BF2B539">
      <w:pPr>
        <w:pStyle w:val="2"/>
        <w:keepNext w:val="0"/>
        <w:keepLines w:val="0"/>
        <w:pageBreakBefore w:val="0"/>
        <w:widowControl w:val="0"/>
        <w:kinsoku/>
        <w:wordWrap/>
        <w:overflowPunct/>
        <w:topLinePunct w:val="0"/>
        <w:autoSpaceDE/>
        <w:autoSpaceDN/>
        <w:bidi w:val="0"/>
        <w:adjustRightInd/>
        <w:snapToGrid/>
        <w:spacing w:line="560" w:lineRule="exact"/>
        <w:ind w:firstLine="4480" w:firstLineChars="1400"/>
        <w:textAlignment w:val="auto"/>
        <w:rPr>
          <w:rFonts w:hint="default" w:ascii="Times New Roman" w:hAnsi="Times New Roman" w:cs="Times New Roman"/>
          <w:lang w:val="en-US" w:eastAsia="zh-CN"/>
        </w:rPr>
      </w:pPr>
      <w:r>
        <w:rPr>
          <w:rFonts w:hint="default" w:ascii="Times New Roman" w:hAnsi="Times New Roman" w:eastAsia="仿宋_GB2312" w:cs="Times New Roman"/>
          <w:sz w:val="32"/>
          <w:szCs w:val="32"/>
          <w:lang w:val="en-US" w:eastAsia="zh-CN"/>
        </w:rPr>
        <w:t>2025年12月2日</w:t>
      </w:r>
    </w:p>
    <w:p w14:paraId="6BA664A7">
      <w:pPr>
        <w:rPr>
          <w:rFonts w:hint="default" w:ascii="Times New Roman" w:hAnsi="Times New Roman" w:eastAsia="仿宋_GB2312" w:cs="Times New Roman"/>
          <w:sz w:val="32"/>
          <w:szCs w:val="32"/>
          <w:lang w:val="en-US" w:eastAsia="zh-CN"/>
        </w:rPr>
      </w:pPr>
    </w:p>
    <w:p w14:paraId="09D470EA">
      <w:pPr>
        <w:pStyle w:val="2"/>
        <w:rPr>
          <w:rFonts w:hint="default" w:ascii="Times New Roman" w:hAnsi="Times New Roman" w:cs="Times New Roman"/>
          <w:lang w:val="en-US" w:eastAsia="zh-CN"/>
        </w:rPr>
      </w:pPr>
    </w:p>
    <w:p w14:paraId="093F2AB8">
      <w:pPr>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附件：</w:t>
      </w:r>
    </w:p>
    <w:p w14:paraId="1A8BA23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鄂托克前旗农牧业规模化发展行动方案</w:t>
      </w:r>
    </w:p>
    <w:p w14:paraId="25E4B4E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val="0"/>
          <w:color w:val="auto"/>
          <w:kern w:val="2"/>
          <w:sz w:val="44"/>
          <w:szCs w:val="36"/>
          <w:highlight w:val="none"/>
          <w:lang w:val="en-US" w:eastAsia="zh-CN" w:bidi="ar-SA"/>
        </w:rPr>
      </w:pPr>
      <w:r>
        <w:rPr>
          <w:rFonts w:hint="default" w:ascii="Times New Roman" w:hAnsi="Times New Roman" w:eastAsia="方正小标宋简体" w:cs="Times New Roman"/>
          <w:sz w:val="44"/>
          <w:szCs w:val="44"/>
          <w:lang w:val="en-US" w:eastAsia="zh-CN"/>
        </w:rPr>
        <w:t>（2025—2030年）（征求意见稿）</w:t>
      </w:r>
    </w:p>
    <w:p w14:paraId="753445A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val="0"/>
          <w:color w:val="auto"/>
          <w:kern w:val="0"/>
          <w:sz w:val="32"/>
          <w:szCs w:val="32"/>
          <w:lang w:val="en-US" w:eastAsia="zh-CN" w:bidi="ar"/>
        </w:rPr>
      </w:pPr>
    </w:p>
    <w:p w14:paraId="533011B8">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仿宋_GB2312" w:cs="Times New Roman"/>
          <w:b w:val="0"/>
          <w:bCs w:val="0"/>
          <w:color w:val="auto"/>
          <w:kern w:val="0"/>
          <w:sz w:val="32"/>
          <w:szCs w:val="32"/>
          <w:lang w:val="en-US" w:eastAsia="zh-CN" w:bidi="ar"/>
        </w:rPr>
      </w:pPr>
      <w:r>
        <w:rPr>
          <w:rFonts w:hint="default" w:ascii="Times New Roman" w:hAnsi="Times New Roman" w:eastAsia="仿宋_GB2312" w:cs="Times New Roman"/>
          <w:b w:val="0"/>
          <w:bCs w:val="0"/>
          <w:color w:val="auto"/>
          <w:kern w:val="0"/>
          <w:sz w:val="32"/>
          <w:szCs w:val="32"/>
          <w:lang w:val="en-US" w:eastAsia="zh-CN" w:bidi="ar"/>
        </w:rPr>
        <w:t>为深入贯彻落实党的二十大关于全面推进乡村振兴的战略部署，锚定农牧业现代化发展方向，进一步破解分散经营瓶颈，推动农牧业向规模化、集约化转型，提升产业整体竞争力，切实将制度优势转化为产业发展动能，特制定本方案。</w:t>
      </w:r>
    </w:p>
    <w:p w14:paraId="313C29B4">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CESI黑体-GB2312" w:cs="Times New Roman"/>
          <w:b w:val="0"/>
          <w:bCs w:val="0"/>
          <w:color w:val="auto"/>
          <w:kern w:val="0"/>
          <w:sz w:val="32"/>
          <w:szCs w:val="32"/>
          <w:lang w:val="en-US" w:eastAsia="zh-CN" w:bidi="ar"/>
        </w:rPr>
      </w:pPr>
      <w:r>
        <w:rPr>
          <w:rFonts w:hint="default" w:ascii="Times New Roman" w:hAnsi="Times New Roman" w:eastAsia="CESI黑体-GB2312" w:cs="Times New Roman"/>
          <w:b w:val="0"/>
          <w:bCs w:val="0"/>
          <w:color w:val="auto"/>
          <w:kern w:val="0"/>
          <w:sz w:val="32"/>
          <w:szCs w:val="32"/>
          <w:lang w:val="en-US" w:eastAsia="zh-CN" w:bidi="ar"/>
        </w:rPr>
        <w:t>一、总体要求</w:t>
      </w:r>
    </w:p>
    <w:p w14:paraId="10ED49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color w:val="auto"/>
          <w:kern w:val="0"/>
          <w:sz w:val="32"/>
          <w:szCs w:val="32"/>
          <w:lang w:val="en-US" w:eastAsia="zh-CN" w:bidi="ar"/>
        </w:rPr>
      </w:pPr>
      <w:r>
        <w:rPr>
          <w:rFonts w:hint="default" w:ascii="Times New Roman" w:hAnsi="Times New Roman" w:eastAsia="仿宋_GB2312" w:cs="Times New Roman"/>
          <w:b w:val="0"/>
          <w:bCs w:val="0"/>
          <w:color w:val="auto"/>
          <w:kern w:val="0"/>
          <w:sz w:val="32"/>
          <w:szCs w:val="32"/>
          <w:lang w:val="en-US" w:eastAsia="zh-CN" w:bidi="ar"/>
        </w:rPr>
        <w:t>以生态优先、</w:t>
      </w:r>
      <w:bookmarkStart w:id="8" w:name="_GoBack"/>
      <w:bookmarkEnd w:id="8"/>
      <w:r>
        <w:rPr>
          <w:rFonts w:hint="default" w:ascii="Times New Roman" w:hAnsi="Times New Roman" w:eastAsia="仿宋_GB2312" w:cs="Times New Roman"/>
          <w:b w:val="0"/>
          <w:bCs w:val="0"/>
          <w:color w:val="auto"/>
          <w:kern w:val="0"/>
          <w:sz w:val="32"/>
          <w:szCs w:val="32"/>
          <w:lang w:val="en-US" w:eastAsia="zh-CN" w:bidi="ar"/>
        </w:rPr>
        <w:t>绿色发展为根本导向，以乡村振兴样板区提档升级为统领，围绕“十百千万亿”工程实施，聚焦“双提双优”</w:t>
      </w:r>
      <w:r>
        <w:rPr>
          <w:rFonts w:hint="default" w:ascii="Times New Roman" w:hAnsi="Times New Roman" w:eastAsia="楷体_GB2312" w:cs="Times New Roman"/>
          <w:b w:val="0"/>
          <w:bCs w:val="0"/>
          <w:color w:val="auto"/>
          <w:kern w:val="0"/>
          <w:sz w:val="28"/>
          <w:szCs w:val="28"/>
          <w:lang w:val="en-US" w:eastAsia="zh-CN" w:bidi="ar"/>
        </w:rPr>
        <w:t>（种植业提单产优结构，畜牧业提质量优规模）</w:t>
      </w:r>
      <w:r>
        <w:rPr>
          <w:rFonts w:hint="default" w:ascii="Times New Roman" w:hAnsi="Times New Roman" w:eastAsia="仿宋_GB2312" w:cs="Times New Roman"/>
          <w:b w:val="0"/>
          <w:bCs w:val="0"/>
          <w:color w:val="auto"/>
          <w:kern w:val="0"/>
          <w:sz w:val="32"/>
          <w:szCs w:val="32"/>
          <w:lang w:val="en-US" w:eastAsia="zh-CN" w:bidi="ar"/>
        </w:rPr>
        <w:t>，以新型经营主体培育为关键支撑，以社会化服务能力提升为突破路径，通过“四维并进”</w:t>
      </w:r>
      <w:r>
        <w:rPr>
          <w:rFonts w:hint="default" w:ascii="Times New Roman" w:hAnsi="Times New Roman" w:eastAsia="楷体_GB2312" w:cs="Times New Roman"/>
          <w:b w:val="0"/>
          <w:bCs w:val="0"/>
          <w:color w:val="auto"/>
          <w:kern w:val="0"/>
          <w:sz w:val="28"/>
          <w:szCs w:val="28"/>
          <w:lang w:val="en-US" w:eastAsia="zh-CN" w:bidi="ar"/>
        </w:rPr>
        <w:t>（土地集约提效、养殖集群扩能、生产全程机械、经营全链融合）</w:t>
      </w:r>
      <w:r>
        <w:rPr>
          <w:rFonts w:hint="default" w:ascii="Times New Roman" w:hAnsi="Times New Roman" w:eastAsia="仿宋_GB2312" w:cs="Times New Roman"/>
          <w:b w:val="0"/>
          <w:bCs w:val="0"/>
          <w:color w:val="auto"/>
          <w:kern w:val="0"/>
          <w:sz w:val="32"/>
          <w:szCs w:val="32"/>
          <w:lang w:val="en-US" w:eastAsia="zh-CN" w:bidi="ar"/>
        </w:rPr>
        <w:t>，打造全国优质农畜产品生产基地和草原畜牧业高质量发展示范区。</w:t>
      </w:r>
      <w:r>
        <w:rPr>
          <w:rFonts w:hint="default" w:ascii="Times New Roman" w:hAnsi="Times New Roman" w:eastAsia="仿宋_GB2312" w:cs="Times New Roman"/>
          <w:b/>
          <w:bCs/>
          <w:color w:val="auto"/>
          <w:sz w:val="32"/>
          <w:lang w:val="en-US" w:eastAsia="zh-CN"/>
        </w:rPr>
        <w:t>2025年，</w:t>
      </w:r>
      <w:r>
        <w:rPr>
          <w:rFonts w:hint="default" w:ascii="Times New Roman" w:hAnsi="Times New Roman" w:eastAsia="仿宋_GB2312" w:cs="Times New Roman"/>
          <w:b w:val="0"/>
          <w:bCs w:val="0"/>
          <w:color w:val="auto"/>
          <w:sz w:val="32"/>
          <w:lang w:val="en-US" w:eastAsia="zh-CN"/>
        </w:rPr>
        <w:t>大力推进</w:t>
      </w:r>
      <w:r>
        <w:rPr>
          <w:rFonts w:hint="default" w:ascii="Times New Roman" w:hAnsi="Times New Roman" w:eastAsia="仿宋_GB2312" w:cs="Times New Roman"/>
          <w:b w:val="0"/>
          <w:bCs w:val="0"/>
          <w:color w:val="auto"/>
          <w:spacing w:val="0"/>
          <w:sz w:val="32"/>
          <w:szCs w:val="32"/>
          <w:highlight w:val="none"/>
        </w:rPr>
        <w:t>高标准农田</w:t>
      </w:r>
      <w:r>
        <w:rPr>
          <w:rFonts w:hint="default" w:ascii="Times New Roman" w:hAnsi="Times New Roman" w:eastAsia="仿宋_GB2312" w:cs="Times New Roman"/>
          <w:b w:val="0"/>
          <w:bCs w:val="0"/>
          <w:color w:val="auto"/>
          <w:spacing w:val="0"/>
          <w:sz w:val="32"/>
          <w:szCs w:val="32"/>
          <w:highlight w:val="none"/>
          <w:lang w:eastAsia="zh-CN"/>
        </w:rPr>
        <w:t>建设，实施玉米单产提升项目</w:t>
      </w:r>
      <w:r>
        <w:rPr>
          <w:rFonts w:hint="default" w:ascii="Times New Roman" w:hAnsi="Times New Roman" w:eastAsia="仿宋_GB2312" w:cs="Times New Roman"/>
          <w:b w:val="0"/>
          <w:bCs w:val="0"/>
          <w:color w:val="auto"/>
          <w:spacing w:val="0"/>
          <w:sz w:val="32"/>
          <w:szCs w:val="32"/>
          <w:highlight w:val="none"/>
          <w:lang w:val="en-US" w:eastAsia="zh-CN"/>
        </w:rPr>
        <w:t>10万亩、</w:t>
      </w:r>
      <w:r>
        <w:rPr>
          <w:rFonts w:hint="default" w:ascii="Times New Roman" w:hAnsi="Times New Roman" w:eastAsia="仿宋_GB2312" w:cs="Times New Roman"/>
          <w:b w:val="0"/>
          <w:bCs w:val="0"/>
          <w:color w:val="auto"/>
          <w:sz w:val="32"/>
          <w:lang w:val="en-US" w:eastAsia="zh-CN"/>
        </w:rPr>
        <w:t>农作物播种面积稳定在85万亩，确保粮食产量稳定在3.32亿斤以上，粮食单产提升20%，</w:t>
      </w:r>
      <w:r>
        <w:rPr>
          <w:rFonts w:hint="default" w:ascii="Times New Roman" w:hAnsi="Times New Roman" w:eastAsia="仿宋_GB2312" w:cs="Times New Roman"/>
          <w:b w:val="0"/>
          <w:bCs w:val="0"/>
          <w:color w:val="auto"/>
          <w:spacing w:val="0"/>
          <w:sz w:val="32"/>
          <w:szCs w:val="32"/>
          <w:highlight w:val="none"/>
        </w:rPr>
        <w:t>果蔬种植</w:t>
      </w:r>
      <w:r>
        <w:rPr>
          <w:rFonts w:hint="default" w:ascii="Times New Roman" w:hAnsi="Times New Roman" w:eastAsia="仿宋_GB2312" w:cs="Times New Roman"/>
          <w:b w:val="0"/>
          <w:bCs w:val="0"/>
          <w:color w:val="auto"/>
          <w:spacing w:val="0"/>
          <w:sz w:val="32"/>
          <w:szCs w:val="32"/>
          <w:highlight w:val="none"/>
          <w:lang w:val="en-US" w:eastAsia="zh-CN"/>
        </w:rPr>
        <w:t>面积稳定在</w:t>
      </w:r>
      <w:r>
        <w:rPr>
          <w:rFonts w:hint="default" w:ascii="Times New Roman" w:hAnsi="Times New Roman" w:eastAsia="仿宋_GB2312" w:cs="Times New Roman"/>
          <w:b w:val="0"/>
          <w:bCs w:val="0"/>
          <w:color w:val="auto"/>
          <w:spacing w:val="0"/>
          <w:sz w:val="32"/>
          <w:szCs w:val="32"/>
          <w:highlight w:val="none"/>
        </w:rPr>
        <w:t>10万亩</w:t>
      </w:r>
      <w:r>
        <w:rPr>
          <w:rFonts w:hint="default" w:ascii="Times New Roman" w:hAnsi="Times New Roman" w:eastAsia="仿宋_GB2312" w:cs="Times New Roman"/>
          <w:b w:val="0"/>
          <w:bCs w:val="0"/>
          <w:color w:val="auto"/>
          <w:spacing w:val="0"/>
          <w:sz w:val="32"/>
          <w:szCs w:val="32"/>
          <w:highlight w:val="none"/>
          <w:lang w:eastAsia="zh-CN"/>
        </w:rPr>
        <w:t>；</w:t>
      </w:r>
      <w:r>
        <w:rPr>
          <w:rFonts w:hint="default" w:ascii="Times New Roman" w:hAnsi="Times New Roman" w:eastAsia="仿宋_GB2312" w:cs="Times New Roman"/>
          <w:b w:val="0"/>
          <w:bCs w:val="0"/>
          <w:color w:val="auto"/>
          <w:sz w:val="32"/>
          <w:lang w:val="en-US" w:eastAsia="zh-CN"/>
        </w:rPr>
        <w:t>牲畜总头数达到230万头只，出栏牲畜保持在134万头只以上，畜牧业综合产值突破15亿元。农牧业机械化率达90%以上，节水率提升30%，化肥减量15%，秸秆综合利用率达95%，草畜平衡覆盖率达100%。培育新型经营主体超100家</w:t>
      </w:r>
      <w:r>
        <w:rPr>
          <w:rFonts w:hint="default" w:ascii="Times New Roman" w:hAnsi="Times New Roman" w:eastAsia="仿宋_GB2312" w:cs="Times New Roman"/>
          <w:b w:val="0"/>
          <w:bCs w:val="0"/>
          <w:strike w:val="0"/>
          <w:dstrike w:val="0"/>
          <w:color w:val="auto"/>
          <w:sz w:val="32"/>
          <w:lang w:val="en-US" w:eastAsia="zh-CN"/>
        </w:rPr>
        <w:t>，带动农牧户年均增收5000元</w:t>
      </w:r>
      <w:r>
        <w:rPr>
          <w:rFonts w:hint="default" w:ascii="Times New Roman" w:hAnsi="Times New Roman" w:eastAsia="仿宋_GB2312" w:cs="Times New Roman"/>
          <w:b w:val="0"/>
          <w:bCs w:val="0"/>
          <w:strike w:val="0"/>
          <w:color w:val="auto"/>
          <w:sz w:val="32"/>
          <w:lang w:val="en-US" w:eastAsia="zh-CN"/>
        </w:rPr>
        <w:t>，</w:t>
      </w:r>
      <w:r>
        <w:rPr>
          <w:rFonts w:hint="default" w:ascii="Times New Roman" w:hAnsi="Times New Roman" w:eastAsia="仿宋_GB2312" w:cs="Times New Roman"/>
          <w:b w:val="0"/>
          <w:bCs w:val="0"/>
          <w:color w:val="auto"/>
          <w:sz w:val="32"/>
          <w:lang w:val="en-US" w:eastAsia="zh-CN"/>
        </w:rPr>
        <w:t>嘎查村集体经济收入达30万元。</w:t>
      </w:r>
      <w:r>
        <w:rPr>
          <w:rFonts w:hint="default" w:ascii="Times New Roman" w:hAnsi="Times New Roman" w:eastAsia="仿宋_GB2312" w:cs="Times New Roman"/>
          <w:b/>
          <w:bCs/>
          <w:color w:val="auto"/>
          <w:kern w:val="0"/>
          <w:sz w:val="32"/>
          <w:szCs w:val="32"/>
          <w:lang w:val="en-US" w:eastAsia="zh-CN" w:bidi="ar"/>
        </w:rPr>
        <w:t>到2030年，</w:t>
      </w:r>
      <w:r>
        <w:rPr>
          <w:rFonts w:hint="default" w:ascii="Times New Roman" w:hAnsi="Times New Roman" w:eastAsia="仿宋_GB2312" w:cs="Times New Roman"/>
          <w:b w:val="0"/>
          <w:bCs w:val="0"/>
          <w:color w:val="auto"/>
          <w:kern w:val="0"/>
          <w:sz w:val="32"/>
          <w:szCs w:val="32"/>
          <w:lang w:val="en-US" w:eastAsia="zh-CN" w:bidi="ar"/>
        </w:rPr>
        <w:t>将符合条件的永久基本农田全部建成高标准农田，农作物播种面积保持稳定，粮食产量年均增速2.5%，牲畜总头数达230万头只以上，农牧业机械化率达92%，</w:t>
      </w:r>
      <w:r>
        <w:rPr>
          <w:rFonts w:hint="default" w:ascii="Times New Roman" w:hAnsi="Times New Roman" w:eastAsia="仿宋_GB2312" w:cs="Times New Roman"/>
          <w:color w:val="auto"/>
          <w:sz w:val="32"/>
          <w:lang w:val="en-US" w:eastAsia="zh-CN"/>
        </w:rPr>
        <w:t>一产产值增加到55亿元，</w:t>
      </w:r>
      <w:r>
        <w:rPr>
          <w:rFonts w:hint="default" w:ascii="Times New Roman" w:hAnsi="Times New Roman" w:eastAsia="仿宋_GB2312" w:cs="Times New Roman"/>
          <w:color w:val="auto"/>
          <w:sz w:val="32"/>
          <w:lang w:val="en-US" w:eastAsia="zh-CN"/>
        </w:rPr>
        <w:t>农村牧区常住居民</w:t>
      </w:r>
      <w:r>
        <w:rPr>
          <w:rFonts w:hint="default" w:ascii="Times New Roman" w:hAnsi="Times New Roman" w:eastAsia="仿宋_GB2312" w:cs="Times New Roman"/>
          <w:color w:val="auto"/>
          <w:sz w:val="32"/>
          <w:lang w:val="en-US" w:eastAsia="zh-CN"/>
        </w:rPr>
        <w:t>人均可支配收入达4.26万元</w:t>
      </w:r>
      <w:r>
        <w:rPr>
          <w:rFonts w:hint="default" w:ascii="Times New Roman" w:hAnsi="Times New Roman" w:eastAsia="仿宋_GB2312" w:cs="Times New Roman"/>
          <w:color w:val="auto"/>
          <w:sz w:val="32"/>
          <w:lang w:val="en-US" w:eastAsia="zh-CN"/>
        </w:rPr>
        <w:t>。</w:t>
      </w:r>
      <w:r>
        <w:rPr>
          <w:rFonts w:hint="default" w:ascii="Times New Roman" w:hAnsi="Times New Roman" w:eastAsia="仿宋_GB2312" w:cs="Times New Roman"/>
          <w:bCs/>
          <w:color w:val="auto"/>
          <w:kern w:val="0"/>
          <w:sz w:val="32"/>
          <w:szCs w:val="32"/>
          <w:lang w:val="en-US" w:eastAsia="zh-CN" w:bidi="ar"/>
        </w:rPr>
        <w:t>同时，农牧业产业服务链更加完善高效，节水降耗绿色发展水平显著提升，新型经营主体实力更加强劲，带动农牧户增收与嘎查村集体经济双提质，推动一产产值与农村牧区常住居民人均可支配收入实现较大突破。</w:t>
      </w:r>
    </w:p>
    <w:p w14:paraId="6A67A8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CESI黑体-GB2312" w:cs="Times New Roman"/>
          <w:b w:val="0"/>
          <w:bCs w:val="0"/>
          <w:color w:val="auto"/>
          <w:kern w:val="0"/>
          <w:sz w:val="32"/>
          <w:szCs w:val="32"/>
          <w:lang w:val="en-US" w:eastAsia="zh-CN" w:bidi="ar"/>
        </w:rPr>
        <w:t>二、重点任务</w:t>
      </w:r>
    </w:p>
    <w:p w14:paraId="40974CD8">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楷体_GB2312" w:cs="Times New Roman"/>
          <w:b w:val="0"/>
          <w:bCs w:val="0"/>
          <w:color w:val="auto"/>
          <w:sz w:val="32"/>
          <w:highlight w:val="none"/>
          <w:lang w:eastAsia="zh-CN"/>
        </w:rPr>
      </w:pPr>
      <w:r>
        <w:rPr>
          <w:rFonts w:hint="default" w:ascii="Times New Roman" w:hAnsi="Times New Roman" w:eastAsia="楷体_GB2312" w:cs="Times New Roman"/>
          <w:b w:val="0"/>
          <w:bCs w:val="0"/>
          <w:color w:val="auto"/>
          <w:sz w:val="32"/>
          <w:highlight w:val="none"/>
        </w:rPr>
        <w:t>（一）土地集约提效</w:t>
      </w:r>
      <w:r>
        <w:rPr>
          <w:rFonts w:hint="default" w:ascii="Times New Roman" w:hAnsi="Times New Roman" w:eastAsia="楷体_GB2312" w:cs="Times New Roman"/>
          <w:b w:val="0"/>
          <w:bCs w:val="0"/>
          <w:color w:val="auto"/>
          <w:sz w:val="32"/>
          <w:highlight w:val="none"/>
          <w:lang w:eastAsia="zh-CN"/>
        </w:rPr>
        <w:t>，</w:t>
      </w:r>
      <w:r>
        <w:rPr>
          <w:rFonts w:hint="default" w:ascii="Times New Roman" w:hAnsi="Times New Roman" w:eastAsia="楷体_GB2312" w:cs="Times New Roman"/>
          <w:b w:val="0"/>
          <w:bCs w:val="0"/>
          <w:color w:val="auto"/>
          <w:sz w:val="32"/>
          <w:highlight w:val="none"/>
        </w:rPr>
        <w:t>夯实规模化发展基础</w:t>
      </w:r>
    </w:p>
    <w:p w14:paraId="6AC51213">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default" w:ascii="Times New Roman" w:hAnsi="Times New Roman" w:eastAsia="仿宋_GB2312" w:cs="Times New Roman"/>
          <w:bCs/>
          <w:color w:val="auto"/>
          <w:kern w:val="0"/>
          <w:sz w:val="32"/>
          <w:szCs w:val="32"/>
          <w:lang w:val="en-US" w:eastAsia="zh-CN" w:bidi="ar"/>
        </w:rPr>
      </w:pPr>
      <w:r>
        <w:rPr>
          <w:rFonts w:hint="default" w:ascii="Times New Roman" w:hAnsi="Times New Roman" w:eastAsia="仿宋_GB2312" w:cs="Times New Roman"/>
          <w:b/>
          <w:bCs/>
          <w:color w:val="auto"/>
          <w:sz w:val="32"/>
          <w:szCs w:val="32"/>
          <w:lang w:val="en-US" w:eastAsia="zh-CN"/>
        </w:rPr>
        <w:t>1.建设高标准农田。</w:t>
      </w:r>
      <w:r>
        <w:rPr>
          <w:rFonts w:hint="default" w:ascii="Times New Roman" w:hAnsi="Times New Roman" w:eastAsia="仿宋_GB2312" w:cs="Times New Roman"/>
          <w:bCs/>
          <w:color w:val="auto"/>
          <w:kern w:val="0"/>
          <w:sz w:val="32"/>
          <w:szCs w:val="32"/>
          <w:lang w:val="en-US" w:eastAsia="zh-CN" w:bidi="ar"/>
        </w:rPr>
        <w:t>统筹谋划，积极争取，力争每年实施高标准农田建设项目，2025年完成3.5万亩建设任务，配套建设“水、电、林、路、田、技、管、土”等，着力实现“粮田”变“良田”。到2030年全旗高标准农田达到30万亩以上。</w:t>
      </w:r>
    </w:p>
    <w:p w14:paraId="7EF3B8D5">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bCs/>
          <w:color w:val="auto"/>
          <w:kern w:val="0"/>
          <w:sz w:val="32"/>
          <w:szCs w:val="32"/>
          <w:lang w:val="en-US" w:eastAsia="zh-CN" w:bidi="ar"/>
        </w:rPr>
      </w:pPr>
      <w:r>
        <w:rPr>
          <w:rFonts w:hint="default" w:ascii="Times New Roman" w:hAnsi="Times New Roman" w:eastAsia="仿宋_GB2312" w:cs="Times New Roman"/>
          <w:b/>
          <w:bCs w:val="0"/>
          <w:color w:val="auto"/>
          <w:kern w:val="0"/>
          <w:sz w:val="32"/>
          <w:szCs w:val="32"/>
          <w:lang w:val="en-US" w:eastAsia="zh-CN" w:bidi="ar"/>
        </w:rPr>
        <w:t>2.实施节水示范行动。</w:t>
      </w:r>
      <w:r>
        <w:rPr>
          <w:rFonts w:hint="default" w:ascii="Times New Roman" w:hAnsi="Times New Roman" w:eastAsia="仿宋_GB2312" w:cs="Times New Roman"/>
          <w:bCs/>
          <w:color w:val="auto"/>
          <w:kern w:val="0"/>
          <w:sz w:val="32"/>
          <w:szCs w:val="32"/>
          <w:lang w:val="en-US" w:eastAsia="zh-CN" w:bidi="ar"/>
        </w:rPr>
        <w:t>实施敖镇地下水超采区农业灌溉水源置换工程，建设5000亩高效节水灌溉农田。实施3万亩小流量滴灌示范田，实现节水增产两不误。到2030年小流量滴灌推广面积达到50万亩以上，力争实现全覆盖。</w:t>
      </w:r>
    </w:p>
    <w:p w14:paraId="67857272">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仿宋_GB2312" w:cs="Times New Roman"/>
          <w:bCs/>
          <w:color w:val="auto"/>
          <w:kern w:val="0"/>
          <w:sz w:val="32"/>
          <w:szCs w:val="32"/>
          <w:lang w:val="en-US" w:eastAsia="zh-CN" w:bidi="ar"/>
        </w:rPr>
      </w:pPr>
      <w:r>
        <w:rPr>
          <w:rFonts w:hint="default" w:ascii="Times New Roman" w:hAnsi="Times New Roman" w:eastAsia="仿宋_GB2312" w:cs="Times New Roman"/>
          <w:b/>
          <w:bCs w:val="0"/>
          <w:color w:val="auto"/>
          <w:kern w:val="0"/>
          <w:sz w:val="32"/>
          <w:szCs w:val="32"/>
          <w:lang w:val="en-US" w:eastAsia="zh-CN" w:bidi="ar"/>
        </w:rPr>
        <w:t>3.推广玉米密植精准调控技术。</w:t>
      </w:r>
      <w:r>
        <w:rPr>
          <w:rFonts w:hint="default" w:ascii="Times New Roman" w:hAnsi="Times New Roman" w:eastAsia="仿宋_GB2312" w:cs="Times New Roman"/>
          <w:bCs/>
          <w:color w:val="auto"/>
          <w:kern w:val="0"/>
          <w:sz w:val="32"/>
          <w:szCs w:val="32"/>
          <w:lang w:val="en-US" w:eastAsia="zh-CN" w:bidi="ar"/>
        </w:rPr>
        <w:t>着力打造百亩、千亩核心高产攻关区，实现亩产不低于1300公斤。以此为示范，推动全旗10万亩玉米亩产达到1000公斤水平，实现单产显著增长，同步配套农机作业服务，切实提升全旗玉米综合产能，为粮食安全与农牧户增收提供坚实支撑。</w:t>
      </w:r>
    </w:p>
    <w:p w14:paraId="61F402B6">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b w:val="0"/>
          <w:bCs/>
          <w:color w:val="auto"/>
          <w:sz w:val="32"/>
          <w:szCs w:val="32"/>
          <w:lang w:eastAsia="zh-CN"/>
        </w:rPr>
      </w:pPr>
      <w:r>
        <w:rPr>
          <w:rFonts w:hint="default" w:ascii="Times New Roman" w:hAnsi="Times New Roman" w:eastAsia="仿宋_GB2312" w:cs="Times New Roman"/>
          <w:b/>
          <w:bCs w:val="0"/>
          <w:color w:val="auto"/>
          <w:kern w:val="0"/>
          <w:sz w:val="32"/>
          <w:szCs w:val="32"/>
          <w:lang w:val="en-US" w:eastAsia="zh-CN" w:bidi="ar"/>
        </w:rPr>
        <w:t>4.</w:t>
      </w:r>
      <w:r>
        <w:rPr>
          <w:rFonts w:hint="default" w:ascii="Times New Roman" w:hAnsi="Times New Roman" w:eastAsia="仿宋_GB2312" w:cs="Times New Roman"/>
          <w:b/>
          <w:bCs w:val="0"/>
          <w:color w:val="auto"/>
          <w:sz w:val="32"/>
          <w:szCs w:val="32"/>
          <w:lang w:val="en-US" w:eastAsia="zh-CN"/>
        </w:rPr>
        <w:t>适度扩大蔬菜种植面积。</w:t>
      </w:r>
      <w:r>
        <w:rPr>
          <w:rFonts w:hint="default" w:ascii="Times New Roman" w:hAnsi="Times New Roman" w:eastAsia="仿宋_GB2312" w:cs="Times New Roman"/>
          <w:b w:val="0"/>
          <w:bCs/>
          <w:color w:val="auto"/>
          <w:sz w:val="32"/>
          <w:szCs w:val="32"/>
          <w:lang w:eastAsia="zh-CN"/>
        </w:rPr>
        <w:t>发挥果蔬黄金产区优势，</w:t>
      </w:r>
      <w:r>
        <w:rPr>
          <w:rFonts w:hint="default" w:ascii="Times New Roman" w:hAnsi="Times New Roman" w:eastAsia="仿宋_GB2312" w:cs="Times New Roman"/>
          <w:b w:val="0"/>
          <w:bCs/>
          <w:color w:val="auto"/>
          <w:sz w:val="32"/>
          <w:szCs w:val="32"/>
          <w:lang w:eastAsia="zh-CN"/>
        </w:rPr>
        <w:t>围绕辣椒、萝卜等产业发展优势，</w:t>
      </w:r>
      <w:r>
        <w:rPr>
          <w:rFonts w:hint="default" w:ascii="Times New Roman" w:hAnsi="Times New Roman" w:eastAsia="仿宋_GB2312" w:cs="Times New Roman"/>
          <w:b w:val="0"/>
          <w:bCs/>
          <w:color w:val="auto"/>
          <w:sz w:val="32"/>
          <w:szCs w:val="32"/>
          <w:lang w:eastAsia="zh-CN"/>
        </w:rPr>
        <w:t>大力发展订单农业，持续扩大果蔬种植规模，提升产品品质，</w:t>
      </w:r>
      <w:r>
        <w:rPr>
          <w:rFonts w:hint="default" w:ascii="Times New Roman" w:hAnsi="Times New Roman" w:eastAsia="仿宋_GB2312" w:cs="Times New Roman"/>
          <w:b w:val="0"/>
          <w:bCs/>
          <w:color w:val="auto"/>
          <w:sz w:val="32"/>
          <w:szCs w:val="32"/>
          <w:lang w:val="en-US" w:eastAsia="zh-CN"/>
        </w:rPr>
        <w:t>面积达到10万亩以上，育苗</w:t>
      </w:r>
      <w:r>
        <w:rPr>
          <w:rFonts w:hint="default" w:ascii="Times New Roman" w:hAnsi="Times New Roman" w:eastAsia="仿宋_GB2312" w:cs="Times New Roman"/>
          <w:b w:val="0"/>
          <w:bCs/>
          <w:color w:val="auto"/>
          <w:sz w:val="32"/>
          <w:szCs w:val="32"/>
          <w:lang w:eastAsia="zh-CN"/>
        </w:rPr>
        <w:t>能力达到</w:t>
      </w:r>
      <w:r>
        <w:rPr>
          <w:rFonts w:hint="default" w:ascii="Times New Roman" w:hAnsi="Times New Roman" w:eastAsia="仿宋_GB2312" w:cs="Times New Roman"/>
          <w:b w:val="0"/>
          <w:bCs/>
          <w:color w:val="auto"/>
          <w:sz w:val="32"/>
          <w:szCs w:val="32"/>
          <w:lang w:val="en-US" w:eastAsia="zh-CN"/>
        </w:rPr>
        <w:t>1.2亿株</w:t>
      </w:r>
      <w:r>
        <w:rPr>
          <w:rFonts w:hint="default" w:ascii="Times New Roman" w:hAnsi="Times New Roman" w:eastAsia="仿宋_GB2312" w:cs="Times New Roman"/>
          <w:b w:val="0"/>
          <w:bCs/>
          <w:color w:val="auto"/>
          <w:sz w:val="32"/>
          <w:szCs w:val="32"/>
          <w:lang w:eastAsia="zh-CN"/>
        </w:rPr>
        <w:t>。</w:t>
      </w:r>
      <w:r>
        <w:rPr>
          <w:rFonts w:hint="default" w:ascii="Times New Roman" w:hAnsi="Times New Roman" w:eastAsia="仿宋_GB2312" w:cs="Times New Roman"/>
          <w:b w:val="0"/>
          <w:bCs/>
          <w:color w:val="auto"/>
          <w:kern w:val="0"/>
          <w:sz w:val="32"/>
          <w:szCs w:val="32"/>
          <w:lang w:val="en-US" w:eastAsia="zh-CN" w:bidi="ar-SA"/>
        </w:rPr>
        <w:t>支持国有企业加快香菇产业发展，推进“企业+农户”种植模式，整合旗内香菇产业资产资源资金，形成“种—加—销”一体化经营体系，努力开创节水增收新产业。</w:t>
      </w:r>
    </w:p>
    <w:p w14:paraId="5E9D46C3">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bCs/>
          <w:color w:val="auto"/>
          <w:kern w:val="0"/>
          <w:sz w:val="32"/>
          <w:szCs w:val="32"/>
          <w:lang w:val="en-US" w:eastAsia="zh-CN" w:bidi="ar"/>
        </w:rPr>
      </w:pPr>
      <w:r>
        <w:rPr>
          <w:rFonts w:hint="default" w:ascii="Times New Roman" w:hAnsi="Times New Roman" w:eastAsia="仿宋_GB2312" w:cs="Times New Roman"/>
          <w:b/>
          <w:bCs w:val="0"/>
          <w:color w:val="auto"/>
          <w:kern w:val="0"/>
          <w:sz w:val="32"/>
          <w:szCs w:val="32"/>
          <w:lang w:val="en-US" w:eastAsia="zh-CN" w:bidi="ar"/>
        </w:rPr>
        <w:t>5.推进饲草料基地规模化。</w:t>
      </w:r>
      <w:r>
        <w:rPr>
          <w:rFonts w:hint="default" w:ascii="Times New Roman" w:hAnsi="Times New Roman" w:eastAsia="仿宋_GB2312" w:cs="Times New Roman"/>
          <w:color w:val="auto"/>
          <w:kern w:val="0"/>
          <w:sz w:val="32"/>
          <w:szCs w:val="32"/>
          <w:lang w:val="en-US" w:eastAsia="zh-CN" w:bidi="ar-SA"/>
        </w:rPr>
        <w:t>全旗推广昂素镇柠条种植经验，开展“蒿草换柠条”行动，</w:t>
      </w:r>
      <w:r>
        <w:rPr>
          <w:rFonts w:hint="default" w:ascii="Times New Roman" w:hAnsi="Times New Roman" w:eastAsia="仿宋_GB2312" w:cs="Times New Roman"/>
          <w:color w:val="auto"/>
          <w:kern w:val="0"/>
          <w:sz w:val="32"/>
          <w:szCs w:val="32"/>
          <w:lang w:val="en-US" w:eastAsia="zh-CN" w:bidi="ar-SA"/>
        </w:rPr>
        <w:t>打通生态资源变资本资金的通道。</w:t>
      </w:r>
      <w:r>
        <w:rPr>
          <w:rFonts w:hint="default" w:ascii="Times New Roman" w:hAnsi="Times New Roman" w:eastAsia="仿宋_GB2312" w:cs="Times New Roman"/>
          <w:bCs/>
          <w:color w:val="auto"/>
          <w:kern w:val="0"/>
          <w:sz w:val="32"/>
          <w:szCs w:val="32"/>
          <w:lang w:val="en-US" w:eastAsia="zh-CN" w:bidi="ar"/>
        </w:rPr>
        <w:t>建设20万亩优质饲草基地，配套4万平方米储草库，推行“饲草银行”模式，鼓励企业与农户签订饲草订单，推广“统一供种、统一收割、统一储运”服务，实现草畜动态平衡。</w:t>
      </w:r>
    </w:p>
    <w:p w14:paraId="6FBD565D">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楷体_GB2312" w:cs="Times New Roman"/>
          <w:bCs/>
          <w:color w:val="auto"/>
          <w:kern w:val="0"/>
          <w:sz w:val="32"/>
          <w:szCs w:val="32"/>
          <w:lang w:val="en-US" w:eastAsia="zh-CN" w:bidi="ar"/>
        </w:rPr>
      </w:pPr>
      <w:r>
        <w:rPr>
          <w:rFonts w:hint="default" w:ascii="Times New Roman" w:hAnsi="Times New Roman" w:eastAsia="楷体_GB2312" w:cs="Times New Roman"/>
          <w:bCs/>
          <w:color w:val="auto"/>
          <w:kern w:val="0"/>
          <w:sz w:val="32"/>
          <w:szCs w:val="32"/>
          <w:lang w:val="en-US" w:eastAsia="zh-CN" w:bidi="ar"/>
        </w:rPr>
        <w:t>（二）养殖集群扩能，优化畜牧业规模结构</w:t>
      </w:r>
    </w:p>
    <w:p w14:paraId="4991DCC4">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bCs/>
          <w:color w:val="auto"/>
          <w:sz w:val="32"/>
          <w:szCs w:val="32"/>
          <w:lang w:val="en-US" w:eastAsia="zh-CN"/>
        </w:rPr>
        <w:t>6.绒山羊产业带建设。</w:t>
      </w:r>
      <w:r>
        <w:rPr>
          <w:rFonts w:hint="default" w:ascii="Times New Roman" w:hAnsi="Times New Roman" w:eastAsia="仿宋_GB2312" w:cs="Times New Roman"/>
          <w:color w:val="auto"/>
          <w:kern w:val="0"/>
          <w:sz w:val="32"/>
          <w:szCs w:val="32"/>
          <w:lang w:val="en-US" w:eastAsia="zh-CN" w:bidi="ar"/>
        </w:rPr>
        <w:t>以“种业提质、全链增值”为核心，在</w:t>
      </w:r>
      <w:r>
        <w:rPr>
          <w:rFonts w:hint="default" w:ascii="Times New Roman" w:hAnsi="Times New Roman" w:eastAsia="仿宋_GB2312" w:cs="Times New Roman"/>
          <w:b w:val="0"/>
          <w:bCs w:val="0"/>
          <w:color w:val="auto"/>
          <w:sz w:val="32"/>
          <w:szCs w:val="32"/>
          <w:lang w:val="en-US" w:eastAsia="zh-CN"/>
        </w:rPr>
        <w:t>北部硬梁区重点发展绒山羊产业，</w:t>
      </w:r>
      <w:r>
        <w:rPr>
          <w:rFonts w:hint="default" w:ascii="Times New Roman" w:hAnsi="Times New Roman" w:eastAsia="仿宋_GB2312" w:cs="Times New Roman"/>
          <w:color w:val="auto"/>
          <w:kern w:val="0"/>
          <w:sz w:val="32"/>
          <w:szCs w:val="32"/>
          <w:lang w:val="en-US" w:eastAsia="zh-CN" w:bidi="ar"/>
        </w:rPr>
        <w:t>配备胚胎移植、基因检测等先进设备，组建专业育种团队开展“保种—选育—扩繁”全流程服务。</w:t>
      </w:r>
      <w:r>
        <w:rPr>
          <w:rFonts w:hint="default" w:ascii="Times New Roman" w:hAnsi="Times New Roman" w:eastAsia="仿宋_GB2312" w:cs="Times New Roman"/>
          <w:b w:val="0"/>
          <w:bCs w:val="0"/>
          <w:color w:val="auto"/>
          <w:sz w:val="32"/>
          <w:szCs w:val="32"/>
          <w:lang w:val="en-US" w:eastAsia="zh-CN"/>
        </w:rPr>
        <w:t>每年建设1个万只规模大牧场、200户示范户，推广标准化圈舍和机械化抓绒技术，养殖规模达85万只。加强优质种羊培育，羊绒品质提升至14微米左右。</w:t>
      </w:r>
    </w:p>
    <w:p w14:paraId="00C6103A">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bCs/>
          <w:color w:val="auto"/>
          <w:sz w:val="32"/>
          <w:szCs w:val="32"/>
          <w:lang w:val="en-US" w:eastAsia="zh-CN"/>
        </w:rPr>
        <w:t>7.肉羊养殖强旗建设。</w:t>
      </w:r>
      <w:r>
        <w:rPr>
          <w:rFonts w:hint="default" w:ascii="Times New Roman" w:hAnsi="Times New Roman" w:eastAsia="仿宋_GB2312" w:cs="Times New Roman"/>
          <w:b w:val="0"/>
          <w:bCs w:val="0"/>
          <w:color w:val="auto"/>
          <w:sz w:val="32"/>
          <w:szCs w:val="32"/>
          <w:lang w:val="en-US" w:eastAsia="zh-CN"/>
        </w:rPr>
        <w:t>全面推进以昂素镇为主体的肉羊规模化养殖基地建设，</w:t>
      </w:r>
      <w:r>
        <w:rPr>
          <w:rFonts w:hint="default" w:ascii="Times New Roman" w:hAnsi="Times New Roman" w:eastAsia="仿宋_GB2312" w:cs="Times New Roman"/>
          <w:color w:val="auto"/>
          <w:kern w:val="0"/>
          <w:sz w:val="32"/>
          <w:szCs w:val="32"/>
          <w:lang w:val="en-US" w:eastAsia="zh-CN" w:bidi="ar"/>
        </w:rPr>
        <w:t>构建“良种引进—改良繁育—推广应用”良繁体系，引进杜泊羊、萨福克羊等优质种公羊，推广人工授精、胚胎移植等先进技术。</w:t>
      </w:r>
      <w:r>
        <w:rPr>
          <w:rFonts w:hint="default" w:ascii="Times New Roman" w:hAnsi="Times New Roman" w:eastAsia="仿宋_GB2312" w:cs="Times New Roman"/>
          <w:b w:val="0"/>
          <w:bCs w:val="0"/>
          <w:color w:val="auto"/>
          <w:sz w:val="32"/>
          <w:szCs w:val="32"/>
          <w:lang w:val="en-US" w:eastAsia="zh-CN"/>
        </w:rPr>
        <w:t>推广“企业+合作社+农户”订单养殖模式，每年配套300户标准化棚圈和饲喂设备，肉羊养殖规模稳定在145万只左右。</w:t>
      </w:r>
    </w:p>
    <w:p w14:paraId="0EFAD8DF">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bCs/>
          <w:color w:val="auto"/>
          <w:sz w:val="32"/>
          <w:szCs w:val="32"/>
          <w:lang w:val="en-US" w:eastAsia="zh-CN"/>
        </w:rPr>
        <w:t>8.肉牛适度规模养殖。</w:t>
      </w:r>
      <w:r>
        <w:rPr>
          <w:rFonts w:hint="default" w:ascii="Times New Roman" w:hAnsi="Times New Roman" w:eastAsia="仿宋_GB2312" w:cs="Times New Roman"/>
          <w:color w:val="auto"/>
          <w:kern w:val="0"/>
          <w:sz w:val="32"/>
          <w:szCs w:val="32"/>
          <w:lang w:val="en-US" w:eastAsia="zh-CN" w:bidi="ar"/>
        </w:rPr>
        <w:t>锚定“精品肉牛提质、全产业链增效”目标，构建“核心企业+大型养殖场+养殖大户+小农牧户”四级利益联结机制，</w:t>
      </w:r>
      <w:r>
        <w:rPr>
          <w:rFonts w:hint="default" w:ascii="Times New Roman" w:hAnsi="Times New Roman" w:eastAsia="仿宋_GB2312" w:cs="Times New Roman"/>
          <w:b w:val="0"/>
          <w:bCs w:val="0"/>
          <w:color w:val="auto"/>
          <w:sz w:val="32"/>
          <w:szCs w:val="32"/>
          <w:lang w:val="en-US" w:eastAsia="zh-CN"/>
        </w:rPr>
        <w:t>每年发展50户存栏100头以上养殖户，配套养殖棚、青贮窖、TMR饲喂机等设施，推广安格斯良种繁育技术，肉牛养殖规模稳定在10万头。</w:t>
      </w:r>
    </w:p>
    <w:p w14:paraId="2655A549">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楷体_GB2312" w:cs="Times New Roman"/>
          <w:bCs/>
          <w:color w:val="auto"/>
          <w:kern w:val="0"/>
          <w:sz w:val="32"/>
          <w:szCs w:val="32"/>
          <w:lang w:val="en-US" w:eastAsia="zh-CN" w:bidi="ar"/>
        </w:rPr>
      </w:pPr>
      <w:r>
        <w:rPr>
          <w:rFonts w:hint="default" w:ascii="Times New Roman" w:hAnsi="Times New Roman" w:eastAsia="楷体_GB2312" w:cs="Times New Roman"/>
          <w:bCs/>
          <w:color w:val="auto"/>
          <w:kern w:val="0"/>
          <w:sz w:val="32"/>
          <w:szCs w:val="32"/>
          <w:lang w:val="en-US" w:eastAsia="zh-CN" w:bidi="ar"/>
        </w:rPr>
        <w:t>（三）生产全程机械，提升规模化效率</w:t>
      </w:r>
    </w:p>
    <w:p w14:paraId="05D62E52">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b w:val="0"/>
          <w:bCs w:val="0"/>
          <w:snapToGrid w:val="0"/>
          <w:color w:val="auto"/>
          <w:sz w:val="32"/>
          <w:szCs w:val="32"/>
          <w:lang w:eastAsia="zh-CN"/>
        </w:rPr>
      </w:pPr>
      <w:r>
        <w:rPr>
          <w:rFonts w:hint="default" w:ascii="Times New Roman" w:hAnsi="Times New Roman" w:eastAsia="仿宋_GB2312" w:cs="Times New Roman"/>
          <w:b/>
          <w:bCs/>
          <w:color w:val="auto"/>
          <w:sz w:val="32"/>
          <w:szCs w:val="32"/>
          <w:lang w:val="en-US" w:eastAsia="zh-CN"/>
        </w:rPr>
        <w:t>9.农机装备升级。</w:t>
      </w:r>
      <w:r>
        <w:rPr>
          <w:rFonts w:hint="default" w:ascii="Times New Roman" w:hAnsi="Times New Roman" w:eastAsia="仿宋_GB2312" w:cs="Times New Roman"/>
          <w:b w:val="0"/>
          <w:bCs w:val="0"/>
          <w:color w:val="auto"/>
          <w:sz w:val="32"/>
          <w:szCs w:val="32"/>
          <w:lang w:val="en-US" w:eastAsia="zh-CN"/>
        </w:rPr>
        <w:t>推进作物品种、栽培技术和农机装备集成配套，引导智能高效农机装备示范应用，推进“互联网+”农机作业，继续实施农机购置补贴和作业补贴，提升农机装备水平。推广玉米播种收获、牧草打捆、畜禽粪污处理等专用机械，每年打造1个农作物全程机械化试点、5个畜牧业机械化示范嘎查</w:t>
      </w:r>
      <w:r>
        <w:rPr>
          <w:rFonts w:hint="default" w:ascii="Times New Roman" w:hAnsi="Times New Roman" w:eastAsia="仿宋_GB2312" w:cs="Times New Roman"/>
          <w:b w:val="0"/>
          <w:bCs/>
          <w:color w:val="auto"/>
          <w:sz w:val="32"/>
          <w:szCs w:val="32"/>
          <w:lang w:eastAsia="zh-CN"/>
        </w:rPr>
        <w:t>。发展“农机作业托管”“互联网+农机调度”模式，</w:t>
      </w:r>
      <w:r>
        <w:rPr>
          <w:rFonts w:hint="default" w:ascii="Times New Roman" w:hAnsi="Times New Roman" w:eastAsia="仿宋_GB2312" w:cs="Times New Roman"/>
          <w:b w:val="0"/>
          <w:bCs/>
          <w:color w:val="auto"/>
          <w:sz w:val="32"/>
          <w:szCs w:val="32"/>
          <w:lang w:val="en-US" w:eastAsia="zh-CN"/>
        </w:rPr>
        <w:t>农牧业</w:t>
      </w:r>
      <w:r>
        <w:rPr>
          <w:rFonts w:hint="default" w:ascii="Times New Roman" w:hAnsi="Times New Roman" w:eastAsia="仿宋_GB2312" w:cs="Times New Roman"/>
          <w:b w:val="0"/>
          <w:bCs/>
          <w:color w:val="auto"/>
          <w:sz w:val="32"/>
          <w:szCs w:val="32"/>
          <w:lang w:eastAsia="zh-CN"/>
        </w:rPr>
        <w:t>机械化率超90%。</w:t>
      </w:r>
    </w:p>
    <w:p w14:paraId="28D46CC9">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b w:val="0"/>
          <w:bCs w:val="0"/>
          <w:color w:val="auto"/>
          <w:kern w:val="0"/>
          <w:sz w:val="32"/>
          <w:szCs w:val="24"/>
          <w:lang w:val="en-US" w:eastAsia="zh-CN" w:bidi="ar"/>
        </w:rPr>
      </w:pPr>
      <w:r>
        <w:rPr>
          <w:rFonts w:hint="default" w:ascii="Times New Roman" w:hAnsi="Times New Roman" w:eastAsia="仿宋_GB2312" w:cs="Times New Roman"/>
          <w:b/>
          <w:bCs/>
          <w:color w:val="auto"/>
          <w:kern w:val="0"/>
          <w:sz w:val="32"/>
          <w:szCs w:val="32"/>
          <w:lang w:val="en-US" w:eastAsia="zh-CN" w:bidi="ar"/>
        </w:rPr>
        <w:t>10.数字化赋能。</w:t>
      </w:r>
      <w:r>
        <w:rPr>
          <w:rFonts w:hint="default" w:ascii="Times New Roman" w:hAnsi="Times New Roman" w:eastAsia="仿宋_GB2312" w:cs="Times New Roman"/>
          <w:b w:val="0"/>
          <w:bCs w:val="0"/>
          <w:color w:val="auto"/>
          <w:kern w:val="0"/>
          <w:sz w:val="32"/>
          <w:szCs w:val="32"/>
          <w:lang w:val="en-US" w:eastAsia="zh-CN" w:bidi="ar"/>
        </w:rPr>
        <w:t>建设农牧业社会化服务数字平台，整合土壤速测、气象监测、市场信息等功能，实现生产数据“一网统管”</w:t>
      </w:r>
      <w:r>
        <w:rPr>
          <w:rFonts w:hint="default" w:ascii="Times New Roman" w:hAnsi="Times New Roman" w:eastAsia="仿宋_GB2312" w:cs="Times New Roman"/>
          <w:b w:val="0"/>
          <w:bCs w:val="0"/>
          <w:color w:val="auto"/>
          <w:kern w:val="0"/>
          <w:sz w:val="32"/>
          <w:szCs w:val="24"/>
          <w:lang w:val="en-US" w:eastAsia="zh-CN" w:bidi="ar"/>
        </w:rPr>
        <w:t>。加快农机装备、农机作业与信息技术融合发展，试点应用推广智能饲喂系统、无人机巡牧技术。</w:t>
      </w:r>
    </w:p>
    <w:p w14:paraId="0E167A4B">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仿宋_GB2312" w:cs="Times New Roman"/>
          <w:b w:val="0"/>
          <w:bCs w:val="0"/>
          <w:color w:val="auto"/>
          <w:kern w:val="0"/>
          <w:sz w:val="32"/>
          <w:szCs w:val="24"/>
          <w:lang w:val="en-US" w:eastAsia="zh-CN" w:bidi="ar"/>
        </w:rPr>
      </w:pPr>
    </w:p>
    <w:p w14:paraId="5549496D">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楷体_GB2312" w:cs="Times New Roman"/>
          <w:bCs/>
          <w:color w:val="auto"/>
          <w:kern w:val="0"/>
          <w:sz w:val="32"/>
          <w:szCs w:val="32"/>
          <w:lang w:val="en-US" w:eastAsia="zh-CN" w:bidi="ar"/>
        </w:rPr>
      </w:pPr>
      <w:r>
        <w:rPr>
          <w:rFonts w:hint="default" w:ascii="Times New Roman" w:hAnsi="Times New Roman" w:eastAsia="楷体_GB2312" w:cs="Times New Roman"/>
          <w:bCs/>
          <w:color w:val="auto"/>
          <w:kern w:val="0"/>
          <w:sz w:val="32"/>
          <w:szCs w:val="32"/>
          <w:lang w:val="en-US" w:eastAsia="zh-CN" w:bidi="ar"/>
        </w:rPr>
        <w:t>（四）经营全链融合，提升规模化服务水平</w:t>
      </w:r>
    </w:p>
    <w:p w14:paraId="0D669389">
      <w:pPr>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hint="default" w:ascii="Times New Roman" w:hAnsi="Times New Roman" w:eastAsia="仿宋_GB2312" w:cs="Times New Roman"/>
          <w:b w:val="0"/>
          <w:bCs w:val="0"/>
          <w:color w:val="auto"/>
          <w:kern w:val="0"/>
          <w:sz w:val="32"/>
          <w:szCs w:val="24"/>
          <w:lang w:val="en-US" w:eastAsia="zh-CN" w:bidi="ar"/>
        </w:rPr>
      </w:pPr>
      <w:r>
        <w:rPr>
          <w:rFonts w:hint="default" w:ascii="Times New Roman" w:hAnsi="Times New Roman" w:eastAsia="楷体_GB2312" w:cs="Times New Roman"/>
          <w:b/>
          <w:bCs/>
          <w:color w:val="auto"/>
          <w:sz w:val="32"/>
          <w:highlight w:val="none"/>
          <w:lang w:val="en-US" w:eastAsia="zh-CN"/>
        </w:rPr>
        <w:t>11</w:t>
      </w:r>
      <w:r>
        <w:rPr>
          <w:rFonts w:hint="default" w:ascii="Times New Roman" w:hAnsi="Times New Roman" w:eastAsia="仿宋_GB2312" w:cs="Times New Roman"/>
          <w:b/>
          <w:bCs/>
          <w:color w:val="auto"/>
          <w:kern w:val="0"/>
          <w:sz w:val="32"/>
          <w:szCs w:val="24"/>
          <w:lang w:val="en-US" w:eastAsia="zh-CN" w:bidi="ar"/>
        </w:rPr>
        <w:t>.龙头企业培育。</w:t>
      </w:r>
      <w:r>
        <w:rPr>
          <w:rFonts w:hint="default" w:ascii="Times New Roman" w:hAnsi="Times New Roman" w:eastAsia="仿宋_GB2312" w:cs="Times New Roman"/>
          <w:b w:val="0"/>
          <w:bCs w:val="0"/>
          <w:color w:val="auto"/>
          <w:kern w:val="0"/>
          <w:sz w:val="32"/>
          <w:szCs w:val="24"/>
          <w:lang w:val="en-US" w:eastAsia="zh-CN" w:bidi="ar"/>
        </w:rPr>
        <w:t>围绕饲草、肉羊、果蔬等产业，组建产业联合体，</w:t>
      </w:r>
      <w:r>
        <w:rPr>
          <w:rFonts w:hint="default" w:ascii="Times New Roman" w:hAnsi="Times New Roman" w:eastAsia="仿宋_GB2312" w:cs="Times New Roman"/>
          <w:b w:val="0"/>
          <w:bCs w:val="0"/>
          <w:color w:val="auto"/>
          <w:kern w:val="0"/>
          <w:sz w:val="32"/>
          <w:szCs w:val="32"/>
          <w:lang w:val="en-US" w:eastAsia="zh-CN" w:bidi="ar"/>
        </w:rPr>
        <w:t>通过品牌嫁接、资本运作、产业链延伸等方式，着力培育一批产业关联度大、带动能力强的大企业，</w:t>
      </w:r>
      <w:r>
        <w:rPr>
          <w:rFonts w:hint="default" w:ascii="Times New Roman" w:hAnsi="Times New Roman" w:eastAsia="仿宋_GB2312" w:cs="Times New Roman"/>
          <w:b w:val="0"/>
          <w:bCs w:val="0"/>
          <w:color w:val="auto"/>
          <w:kern w:val="0"/>
          <w:sz w:val="32"/>
          <w:szCs w:val="24"/>
          <w:lang w:val="en-US" w:eastAsia="zh-CN" w:bidi="ar"/>
        </w:rPr>
        <w:t>推动生产、加工、包装、品牌、销售“五统一”标准化生产。每年培育3家以上市级龙头企业。</w:t>
      </w:r>
    </w:p>
    <w:p w14:paraId="494946E9">
      <w:pPr>
        <w:pStyle w:val="16"/>
        <w:keepNext w:val="0"/>
        <w:keepLines w:val="0"/>
        <w:pageBreakBefore w:val="0"/>
        <w:tabs>
          <w:tab w:val="right" w:leader="dot" w:pos="8834"/>
        </w:tabs>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color w:val="auto"/>
          <w:kern w:val="0"/>
          <w:sz w:val="32"/>
          <w:szCs w:val="24"/>
          <w:lang w:val="en-US" w:eastAsia="zh-CN" w:bidi="ar"/>
        </w:rPr>
      </w:pPr>
      <w:r>
        <w:rPr>
          <w:rFonts w:hint="default" w:ascii="Times New Roman" w:hAnsi="Times New Roman" w:eastAsia="仿宋_GB2312" w:cs="Times New Roman"/>
          <w:b/>
          <w:bCs/>
          <w:color w:val="auto"/>
          <w:kern w:val="0"/>
          <w:sz w:val="32"/>
          <w:szCs w:val="24"/>
          <w:lang w:val="en-US" w:eastAsia="zh-CN" w:bidi="ar"/>
        </w:rPr>
        <w:t>12.农牧民专业合作社培育。</w:t>
      </w:r>
      <w:r>
        <w:rPr>
          <w:rFonts w:hint="default" w:ascii="Times New Roman" w:hAnsi="Times New Roman" w:eastAsia="仿宋_GB2312" w:cs="Times New Roman"/>
          <w:b w:val="0"/>
          <w:bCs w:val="0"/>
          <w:color w:val="auto"/>
          <w:kern w:val="0"/>
          <w:sz w:val="32"/>
          <w:szCs w:val="24"/>
          <w:lang w:val="en-US" w:eastAsia="zh-CN" w:bidi="ar"/>
        </w:rPr>
        <w:t>按照逐步规范、优选优化、强化扶持的要求，进一步规范合作组织建设，提升合作社运营能力，确保每年培育农牧民合作社20家以上，推动合作社高质量发展。</w:t>
      </w:r>
    </w:p>
    <w:p w14:paraId="07DC4CCF">
      <w:pPr>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hint="default" w:ascii="Times New Roman" w:hAnsi="Times New Roman" w:eastAsia="仿宋_GB2312" w:cs="Times New Roman"/>
          <w:b w:val="0"/>
          <w:bCs w:val="0"/>
          <w:color w:val="auto"/>
          <w:kern w:val="0"/>
          <w:sz w:val="32"/>
          <w:szCs w:val="24"/>
          <w:lang w:val="en-US" w:eastAsia="zh-CN" w:bidi="ar"/>
        </w:rPr>
      </w:pPr>
      <w:r>
        <w:rPr>
          <w:rFonts w:hint="default" w:ascii="Times New Roman" w:hAnsi="Times New Roman" w:eastAsia="仿宋_GB2312" w:cs="Times New Roman"/>
          <w:b/>
          <w:bCs/>
          <w:color w:val="auto"/>
          <w:kern w:val="0"/>
          <w:sz w:val="32"/>
          <w:szCs w:val="24"/>
          <w:lang w:val="en-US" w:eastAsia="zh-CN" w:bidi="ar"/>
        </w:rPr>
        <w:t>13.扶持家庭农牧场发展。</w:t>
      </w:r>
      <w:r>
        <w:rPr>
          <w:rFonts w:hint="default" w:ascii="Times New Roman" w:hAnsi="Times New Roman" w:eastAsia="仿宋_GB2312" w:cs="Times New Roman"/>
          <w:b w:val="0"/>
          <w:bCs w:val="0"/>
          <w:color w:val="auto"/>
          <w:kern w:val="0"/>
          <w:sz w:val="32"/>
          <w:szCs w:val="24"/>
          <w:lang w:val="en-US" w:eastAsia="zh-CN" w:bidi="ar"/>
        </w:rPr>
        <w:t>开展家庭农牧场认定和示范家庭农牧场创建工作，推进家庭农牧场建立生产、销售、投入品进销及使用记录等生产经营档案，并提供标准化生产等服务和指导，</w:t>
      </w:r>
      <w:r>
        <w:rPr>
          <w:rFonts w:hint="default" w:ascii="Times New Roman" w:hAnsi="Times New Roman" w:eastAsia="仿宋_GB2312" w:cs="Times New Roman"/>
          <w:b w:val="0"/>
          <w:bCs w:val="0"/>
          <w:color w:val="auto"/>
          <w:kern w:val="0"/>
          <w:sz w:val="32"/>
          <w:szCs w:val="32"/>
          <w:lang w:val="en-US" w:eastAsia="zh-CN" w:bidi="ar"/>
        </w:rPr>
        <w:t>确保每年认定家庭农牧场50家以上，推动其向规模化、标准化方向发展。</w:t>
      </w:r>
    </w:p>
    <w:p w14:paraId="4293A819">
      <w:pPr>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hint="default" w:ascii="Times New Roman" w:hAnsi="Times New Roman" w:eastAsia="仿宋_GB2312" w:cs="Times New Roman"/>
          <w:b w:val="0"/>
          <w:bCs w:val="0"/>
          <w:strike w:val="0"/>
          <w:dstrike w:val="0"/>
          <w:color w:val="auto"/>
          <w:kern w:val="0"/>
          <w:sz w:val="32"/>
          <w:szCs w:val="24"/>
          <w:lang w:val="en-US" w:eastAsia="zh-CN" w:bidi="ar"/>
        </w:rPr>
      </w:pPr>
      <w:bookmarkStart w:id="0" w:name="_Toc534612697"/>
      <w:bookmarkStart w:id="1" w:name="_Toc1204704"/>
      <w:bookmarkStart w:id="2" w:name="_Toc528226001"/>
      <w:bookmarkStart w:id="3" w:name="_Toc1754840832"/>
      <w:bookmarkStart w:id="4" w:name="_Toc11057"/>
      <w:r>
        <w:rPr>
          <w:rFonts w:hint="default" w:ascii="Times New Roman" w:hAnsi="Times New Roman" w:eastAsia="仿宋_GB2312" w:cs="Times New Roman"/>
          <w:b/>
          <w:bCs/>
          <w:strike w:val="0"/>
          <w:dstrike w:val="0"/>
          <w:color w:val="auto"/>
          <w:kern w:val="0"/>
          <w:sz w:val="32"/>
          <w:szCs w:val="24"/>
          <w:lang w:val="en-US" w:eastAsia="zh-CN" w:bidi="ar"/>
        </w:rPr>
        <w:t>14.促进小农牧户生产与现代农牧业发展有机衔接</w:t>
      </w:r>
      <w:bookmarkEnd w:id="0"/>
      <w:bookmarkEnd w:id="1"/>
      <w:bookmarkEnd w:id="2"/>
      <w:bookmarkEnd w:id="3"/>
      <w:bookmarkEnd w:id="4"/>
      <w:r>
        <w:rPr>
          <w:rFonts w:hint="default" w:ascii="Times New Roman" w:hAnsi="Times New Roman" w:eastAsia="仿宋_GB2312" w:cs="Times New Roman"/>
          <w:b/>
          <w:bCs/>
          <w:strike w:val="0"/>
          <w:dstrike w:val="0"/>
          <w:color w:val="auto"/>
          <w:kern w:val="0"/>
          <w:sz w:val="32"/>
          <w:szCs w:val="24"/>
          <w:lang w:val="en-US" w:eastAsia="zh-CN" w:bidi="ar"/>
        </w:rPr>
        <w:t>。</w:t>
      </w:r>
      <w:r>
        <w:rPr>
          <w:rFonts w:hint="default" w:ascii="Times New Roman" w:hAnsi="Times New Roman" w:eastAsia="仿宋_GB2312" w:cs="Times New Roman"/>
          <w:b w:val="0"/>
          <w:bCs w:val="0"/>
          <w:strike w:val="0"/>
          <w:dstrike w:val="0"/>
          <w:color w:val="auto"/>
          <w:kern w:val="0"/>
          <w:sz w:val="32"/>
          <w:szCs w:val="24"/>
          <w:lang w:val="en-US" w:eastAsia="zh-CN" w:bidi="ar"/>
        </w:rPr>
        <w:t>采取企业认领基地、农牧户入社入股，组织开展农机作业、统防统治、育种育苗、生产托管、加工储存等生产性服务，完善订单保底收购、利润返还、股份分红等利益联结机制，建立分工明确、链条完整、优势互补、利益共享的联合体内部经营体系。</w:t>
      </w:r>
    </w:p>
    <w:p w14:paraId="5A080EF5">
      <w:pPr>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hint="default" w:ascii="Times New Roman" w:hAnsi="Times New Roman" w:eastAsia="仿宋_GB2312" w:cs="Times New Roman"/>
          <w:color w:val="auto"/>
          <w:kern w:val="0"/>
          <w:sz w:val="32"/>
          <w:szCs w:val="32"/>
          <w:lang w:val="en-US" w:eastAsia="zh-CN" w:bidi="ar"/>
        </w:rPr>
      </w:pPr>
      <w:bookmarkStart w:id="5" w:name="_Toc2145323190"/>
      <w:r>
        <w:rPr>
          <w:rFonts w:hint="default" w:ascii="Times New Roman" w:hAnsi="Times New Roman" w:eastAsia="仿宋_GB2312" w:cs="Times New Roman"/>
          <w:b/>
          <w:bCs/>
          <w:color w:val="auto"/>
          <w:kern w:val="0"/>
          <w:sz w:val="32"/>
          <w:szCs w:val="24"/>
          <w:lang w:val="en-US" w:eastAsia="zh-CN" w:bidi="ar"/>
        </w:rPr>
        <w:t>1</w:t>
      </w:r>
      <w:bookmarkEnd w:id="5"/>
      <w:bookmarkStart w:id="6" w:name="_Toc196421200"/>
      <w:r>
        <w:rPr>
          <w:rFonts w:hint="default" w:ascii="Times New Roman" w:hAnsi="Times New Roman" w:eastAsia="仿宋_GB2312" w:cs="Times New Roman"/>
          <w:b/>
          <w:bCs/>
          <w:color w:val="auto"/>
          <w:kern w:val="0"/>
          <w:sz w:val="32"/>
          <w:szCs w:val="24"/>
          <w:lang w:val="en-US" w:eastAsia="zh-CN" w:bidi="ar"/>
        </w:rPr>
        <w:t>5.</w:t>
      </w:r>
      <w:r>
        <w:rPr>
          <w:rFonts w:hint="default" w:ascii="Times New Roman" w:hAnsi="Times New Roman" w:eastAsia="仿宋_GB2312" w:cs="Times New Roman"/>
          <w:b/>
          <w:bCs/>
          <w:color w:val="auto"/>
          <w:kern w:val="0"/>
          <w:sz w:val="32"/>
          <w:szCs w:val="24"/>
          <w:lang w:val="en-US" w:eastAsia="zh-CN" w:bidi="ar"/>
        </w:rPr>
        <w:t>培育农牧业经纪人队伍</w:t>
      </w:r>
      <w:bookmarkEnd w:id="6"/>
      <w:r>
        <w:rPr>
          <w:rFonts w:hint="default" w:ascii="Times New Roman" w:hAnsi="Times New Roman" w:eastAsia="仿宋_GB2312" w:cs="Times New Roman"/>
          <w:b/>
          <w:bCs/>
          <w:color w:val="auto"/>
          <w:kern w:val="0"/>
          <w:sz w:val="32"/>
          <w:szCs w:val="24"/>
          <w:lang w:val="en-US" w:eastAsia="zh-CN" w:bidi="ar"/>
        </w:rPr>
        <w:t>。</w:t>
      </w:r>
      <w:r>
        <w:rPr>
          <w:rFonts w:hint="default" w:ascii="Times New Roman" w:hAnsi="Times New Roman" w:eastAsia="仿宋_GB2312" w:cs="Times New Roman"/>
          <w:color w:val="auto"/>
          <w:kern w:val="0"/>
          <w:sz w:val="32"/>
          <w:szCs w:val="32"/>
          <w:lang w:val="en-US" w:eastAsia="zh-CN" w:bidi="ar"/>
        </w:rPr>
        <w:t>以三段地、昂素、高潮畔、麻黄套农畜产品交易市场负责人为核心，组建农牧业市场经纪人协会，整合市场资源与信息渠道。通过政策培训、市场实操指导等，培养一批懂经营、通渠道的专业经纪人，助力农畜产品产销对接。完善会员吸纳机制，确保每年新增会员50人以上，构建稳定高效的市场服务桥梁。</w:t>
      </w:r>
    </w:p>
    <w:p w14:paraId="13D43D12">
      <w:pPr>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hint="default" w:ascii="Times New Roman" w:hAnsi="Times New Roman" w:eastAsia="仿宋_GB2312" w:cs="Times New Roman"/>
          <w:b w:val="0"/>
          <w:bCs w:val="0"/>
          <w:color w:val="auto"/>
          <w:kern w:val="0"/>
          <w:sz w:val="32"/>
          <w:szCs w:val="24"/>
          <w:lang w:val="en-US" w:eastAsia="zh-CN" w:bidi="ar"/>
        </w:rPr>
      </w:pPr>
      <w:bookmarkStart w:id="7" w:name="_Toc568742961"/>
      <w:r>
        <w:rPr>
          <w:rFonts w:hint="default" w:ascii="Times New Roman" w:hAnsi="Times New Roman" w:eastAsia="仿宋_GB2312" w:cs="Times New Roman"/>
          <w:b/>
          <w:bCs/>
          <w:color w:val="auto"/>
          <w:kern w:val="0"/>
          <w:sz w:val="32"/>
          <w:szCs w:val="24"/>
          <w:lang w:val="en-US" w:eastAsia="zh-CN" w:bidi="ar"/>
        </w:rPr>
        <w:t>16.</w:t>
      </w:r>
      <w:r>
        <w:rPr>
          <w:rFonts w:hint="default" w:ascii="Times New Roman" w:hAnsi="Times New Roman" w:eastAsia="仿宋_GB2312" w:cs="Times New Roman"/>
          <w:b/>
          <w:bCs/>
          <w:color w:val="auto"/>
          <w:kern w:val="0"/>
          <w:sz w:val="32"/>
          <w:szCs w:val="24"/>
          <w:lang w:val="en-US" w:eastAsia="zh-CN" w:bidi="ar"/>
        </w:rPr>
        <w:t>加快农畜产品物流服务体系建设</w:t>
      </w:r>
      <w:bookmarkEnd w:id="7"/>
      <w:r>
        <w:rPr>
          <w:rFonts w:hint="default" w:ascii="Times New Roman" w:hAnsi="Times New Roman" w:eastAsia="仿宋_GB2312" w:cs="Times New Roman"/>
          <w:b/>
          <w:bCs/>
          <w:color w:val="auto"/>
          <w:kern w:val="0"/>
          <w:sz w:val="32"/>
          <w:szCs w:val="24"/>
          <w:lang w:val="en-US" w:eastAsia="zh-CN" w:bidi="ar"/>
        </w:rPr>
        <w:t>。</w:t>
      </w:r>
      <w:r>
        <w:rPr>
          <w:rFonts w:hint="default" w:ascii="Times New Roman" w:hAnsi="Times New Roman" w:eastAsia="仿宋_GB2312" w:cs="Times New Roman"/>
          <w:b w:val="0"/>
          <w:bCs w:val="0"/>
          <w:color w:val="auto"/>
          <w:kern w:val="0"/>
          <w:sz w:val="32"/>
          <w:szCs w:val="24"/>
          <w:lang w:val="en-US" w:eastAsia="zh-CN" w:bidi="ar"/>
        </w:rPr>
        <w:t>鼓励供销、顺丰和大型商贸物流企业在农村</w:t>
      </w:r>
      <w:r>
        <w:rPr>
          <w:rFonts w:hint="default" w:ascii="Times New Roman" w:hAnsi="Times New Roman" w:eastAsia="仿宋_GB2312" w:cs="Times New Roman"/>
          <w:b w:val="0"/>
          <w:bCs w:val="0"/>
          <w:color w:val="auto"/>
          <w:kern w:val="0"/>
          <w:sz w:val="32"/>
          <w:szCs w:val="24"/>
          <w:lang w:val="en-US" w:eastAsia="zh-CN" w:bidi="ar"/>
        </w:rPr>
        <w:t>牧区</w:t>
      </w:r>
      <w:r>
        <w:rPr>
          <w:rFonts w:hint="default" w:ascii="Times New Roman" w:hAnsi="Times New Roman" w:eastAsia="仿宋_GB2312" w:cs="Times New Roman"/>
          <w:b w:val="0"/>
          <w:bCs w:val="0"/>
          <w:color w:val="auto"/>
          <w:kern w:val="0"/>
          <w:sz w:val="32"/>
          <w:szCs w:val="24"/>
          <w:lang w:val="en-US" w:eastAsia="zh-CN" w:bidi="ar"/>
        </w:rPr>
        <w:t>地区经营布局，</w:t>
      </w:r>
      <w:r>
        <w:rPr>
          <w:rFonts w:hint="default" w:ascii="Times New Roman" w:hAnsi="Times New Roman" w:eastAsia="仿宋_GB2312" w:cs="Times New Roman"/>
          <w:color w:val="auto"/>
          <w:kern w:val="0"/>
          <w:sz w:val="32"/>
          <w:szCs w:val="32"/>
          <w:lang w:val="en-US" w:eastAsia="zh-CN" w:bidi="ar"/>
        </w:rPr>
        <w:t>充分利用</w:t>
      </w:r>
      <w:r>
        <w:rPr>
          <w:rFonts w:hint="default" w:ascii="Times New Roman" w:hAnsi="Times New Roman" w:eastAsia="仿宋_GB2312" w:cs="Times New Roman"/>
          <w:color w:val="auto"/>
          <w:kern w:val="0"/>
          <w:sz w:val="32"/>
          <w:szCs w:val="32"/>
          <w:lang w:val="en-US" w:eastAsia="zh-CN" w:bidi="ar"/>
        </w:rPr>
        <w:t>旗级</w:t>
      </w:r>
      <w:r>
        <w:rPr>
          <w:rFonts w:hint="default" w:ascii="Times New Roman" w:hAnsi="Times New Roman" w:eastAsia="仿宋_GB2312" w:cs="Times New Roman"/>
          <w:color w:val="auto"/>
          <w:kern w:val="0"/>
          <w:sz w:val="32"/>
          <w:szCs w:val="32"/>
          <w:lang w:val="en-US" w:eastAsia="zh-CN" w:bidi="ar"/>
        </w:rPr>
        <w:t>电商物流中心</w:t>
      </w:r>
      <w:r>
        <w:rPr>
          <w:rFonts w:hint="default" w:ascii="Times New Roman" w:hAnsi="Times New Roman" w:eastAsia="仿宋_GB2312" w:cs="Times New Roman"/>
          <w:color w:val="auto"/>
          <w:kern w:val="0"/>
          <w:sz w:val="32"/>
          <w:szCs w:val="32"/>
          <w:lang w:val="en-US" w:eastAsia="zh-CN" w:bidi="ar"/>
        </w:rPr>
        <w:t>、</w:t>
      </w:r>
      <w:r>
        <w:rPr>
          <w:rFonts w:hint="default" w:ascii="Times New Roman" w:hAnsi="Times New Roman" w:eastAsia="仿宋_GB2312" w:cs="Times New Roman"/>
          <w:color w:val="auto"/>
          <w:kern w:val="0"/>
          <w:sz w:val="32"/>
          <w:szCs w:val="32"/>
          <w:lang w:val="en-US" w:eastAsia="zh-CN" w:bidi="ar"/>
        </w:rPr>
        <w:t>4个</w:t>
      </w:r>
      <w:r>
        <w:rPr>
          <w:rFonts w:hint="default" w:ascii="Times New Roman" w:hAnsi="Times New Roman" w:eastAsia="仿宋_GB2312" w:cs="Times New Roman"/>
          <w:color w:val="auto"/>
          <w:kern w:val="0"/>
          <w:sz w:val="32"/>
          <w:szCs w:val="32"/>
          <w:lang w:val="en-US" w:eastAsia="zh-CN" w:bidi="ar"/>
        </w:rPr>
        <w:t>乡镇</w:t>
      </w:r>
      <w:r>
        <w:rPr>
          <w:rFonts w:hint="default" w:ascii="Times New Roman" w:hAnsi="Times New Roman" w:eastAsia="仿宋_GB2312" w:cs="Times New Roman"/>
          <w:color w:val="auto"/>
          <w:kern w:val="0"/>
          <w:sz w:val="32"/>
          <w:szCs w:val="32"/>
          <w:lang w:val="en-US" w:eastAsia="zh-CN" w:bidi="ar"/>
        </w:rPr>
        <w:t>配送</w:t>
      </w:r>
      <w:r>
        <w:rPr>
          <w:rFonts w:hint="default" w:ascii="Times New Roman" w:hAnsi="Times New Roman" w:eastAsia="仿宋_GB2312" w:cs="Times New Roman"/>
          <w:color w:val="auto"/>
          <w:kern w:val="0"/>
          <w:sz w:val="32"/>
          <w:szCs w:val="32"/>
          <w:lang w:val="en-US" w:eastAsia="zh-CN" w:bidi="ar"/>
        </w:rPr>
        <w:t>中心、</w:t>
      </w:r>
      <w:r>
        <w:rPr>
          <w:rFonts w:hint="default" w:ascii="Times New Roman" w:hAnsi="Times New Roman" w:eastAsia="仿宋_GB2312" w:cs="Times New Roman"/>
          <w:color w:val="auto"/>
          <w:kern w:val="0"/>
          <w:sz w:val="32"/>
          <w:szCs w:val="32"/>
          <w:lang w:val="en-US" w:eastAsia="zh-CN" w:bidi="ar"/>
        </w:rPr>
        <w:t>14个</w:t>
      </w:r>
      <w:r>
        <w:rPr>
          <w:rFonts w:hint="default" w:ascii="Times New Roman" w:hAnsi="Times New Roman" w:eastAsia="仿宋_GB2312" w:cs="Times New Roman"/>
          <w:color w:val="auto"/>
          <w:kern w:val="0"/>
          <w:sz w:val="32"/>
          <w:szCs w:val="32"/>
          <w:lang w:val="en-US" w:eastAsia="zh-CN" w:bidi="ar"/>
        </w:rPr>
        <w:t>村级综合服务站为框架的三级寄递物流网络</w:t>
      </w:r>
      <w:r>
        <w:rPr>
          <w:rFonts w:hint="default" w:ascii="Times New Roman" w:hAnsi="Times New Roman" w:eastAsia="仿宋_GB2312" w:cs="Times New Roman"/>
          <w:color w:val="auto"/>
          <w:kern w:val="0"/>
          <w:sz w:val="32"/>
          <w:szCs w:val="32"/>
          <w:lang w:val="en-US" w:eastAsia="zh-CN" w:bidi="ar"/>
        </w:rPr>
        <w:t>，</w:t>
      </w:r>
      <w:r>
        <w:rPr>
          <w:rFonts w:hint="default" w:ascii="Times New Roman" w:hAnsi="Times New Roman" w:eastAsia="仿宋_GB2312" w:cs="Times New Roman"/>
          <w:b w:val="0"/>
          <w:bCs w:val="0"/>
          <w:color w:val="auto"/>
          <w:kern w:val="0"/>
          <w:sz w:val="32"/>
          <w:szCs w:val="24"/>
          <w:lang w:val="en-US" w:eastAsia="zh-CN" w:bidi="ar"/>
        </w:rPr>
        <w:t>配置冷藏运输车辆，采用政策倾斜等方式，鼓励其创新物流服务模式，打通农畜产品流通“最后一公里”。</w:t>
      </w:r>
    </w:p>
    <w:p w14:paraId="11758D15">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楷体_GB2312" w:cs="Times New Roman"/>
          <w:b w:val="0"/>
          <w:bCs w:val="0"/>
          <w:color w:val="auto"/>
          <w:sz w:val="32"/>
          <w:highlight w:val="none"/>
        </w:rPr>
      </w:pPr>
      <w:r>
        <w:rPr>
          <w:rFonts w:hint="default" w:ascii="Times New Roman" w:hAnsi="Times New Roman" w:eastAsia="仿宋_GB2312" w:cs="Times New Roman"/>
          <w:b/>
          <w:bCs/>
          <w:color w:val="auto"/>
          <w:sz w:val="32"/>
          <w:szCs w:val="32"/>
          <w:lang w:val="en-US" w:eastAsia="zh-CN"/>
        </w:rPr>
        <w:t>17.</w:t>
      </w:r>
      <w:r>
        <w:rPr>
          <w:rFonts w:hint="default" w:ascii="Times New Roman" w:hAnsi="Times New Roman" w:eastAsia="仿宋_GB2312" w:cs="Times New Roman"/>
          <w:b/>
          <w:bCs/>
          <w:color w:val="auto"/>
          <w:sz w:val="32"/>
          <w:szCs w:val="32"/>
        </w:rPr>
        <w:t>创新金融服务</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val="0"/>
          <w:bCs w:val="0"/>
          <w:color w:val="auto"/>
          <w:sz w:val="32"/>
          <w:szCs w:val="32"/>
        </w:rPr>
        <w:t>鼓励金融机构创新金融产品和服务方式，加大对</w:t>
      </w:r>
      <w:r>
        <w:rPr>
          <w:rFonts w:hint="default" w:ascii="Times New Roman" w:hAnsi="Times New Roman" w:eastAsia="仿宋_GB2312" w:cs="Times New Roman"/>
          <w:b w:val="0"/>
          <w:bCs w:val="0"/>
          <w:color w:val="auto"/>
          <w:sz w:val="32"/>
          <w:szCs w:val="32"/>
          <w:lang w:val="en-US" w:eastAsia="zh-CN"/>
        </w:rPr>
        <w:t>农牧业</w:t>
      </w:r>
      <w:r>
        <w:rPr>
          <w:rFonts w:hint="default" w:ascii="Times New Roman" w:hAnsi="Times New Roman" w:eastAsia="仿宋_GB2312" w:cs="Times New Roman"/>
          <w:b w:val="0"/>
          <w:bCs w:val="0"/>
          <w:color w:val="auto"/>
          <w:sz w:val="32"/>
          <w:szCs w:val="32"/>
        </w:rPr>
        <w:t>适度规模经营的信贷力度</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简化信贷审批流程，建立绿色审批通道，</w:t>
      </w:r>
      <w:r>
        <w:rPr>
          <w:rFonts w:hint="default" w:ascii="Times New Roman" w:hAnsi="Times New Roman" w:eastAsia="仿宋_GB2312" w:cs="Times New Roman"/>
          <w:b w:val="0"/>
          <w:bCs w:val="0"/>
          <w:color w:val="auto"/>
          <w:sz w:val="32"/>
          <w:szCs w:val="32"/>
          <w:lang w:eastAsia="zh-CN"/>
        </w:rPr>
        <w:t>加</w:t>
      </w:r>
      <w:r>
        <w:rPr>
          <w:rFonts w:hint="default" w:ascii="Times New Roman" w:hAnsi="Times New Roman" w:eastAsia="仿宋_GB2312" w:cs="Times New Roman"/>
          <w:b w:val="0"/>
          <w:bCs w:val="0"/>
          <w:color w:val="auto"/>
          <w:sz w:val="32"/>
          <w:szCs w:val="32"/>
        </w:rPr>
        <w:t>快</w:t>
      </w:r>
      <w:r>
        <w:rPr>
          <w:rFonts w:hint="default" w:ascii="Times New Roman" w:hAnsi="Times New Roman" w:eastAsia="仿宋_GB2312" w:cs="Times New Roman"/>
          <w:b w:val="0"/>
          <w:bCs w:val="0"/>
          <w:color w:val="auto"/>
          <w:sz w:val="32"/>
          <w:szCs w:val="32"/>
          <w:lang w:val="en-US" w:eastAsia="zh-CN"/>
        </w:rPr>
        <w:t>贷款</w:t>
      </w:r>
      <w:r>
        <w:rPr>
          <w:rFonts w:hint="default" w:ascii="Times New Roman" w:hAnsi="Times New Roman" w:eastAsia="仿宋_GB2312" w:cs="Times New Roman"/>
          <w:b w:val="0"/>
          <w:bCs w:val="0"/>
          <w:color w:val="auto"/>
          <w:sz w:val="32"/>
          <w:szCs w:val="32"/>
        </w:rPr>
        <w:t>审批，切实保障</w:t>
      </w:r>
      <w:r>
        <w:rPr>
          <w:rFonts w:hint="default" w:ascii="Times New Roman" w:hAnsi="Times New Roman" w:eastAsia="仿宋_GB2312" w:cs="Times New Roman"/>
          <w:b w:val="0"/>
          <w:bCs w:val="0"/>
          <w:color w:val="auto"/>
          <w:sz w:val="32"/>
          <w:szCs w:val="32"/>
          <w:lang w:eastAsia="zh-CN"/>
        </w:rPr>
        <w:t>农牧业</w:t>
      </w:r>
      <w:r>
        <w:rPr>
          <w:rFonts w:hint="default" w:ascii="Times New Roman" w:hAnsi="Times New Roman" w:eastAsia="仿宋_GB2312" w:cs="Times New Roman"/>
          <w:b w:val="0"/>
          <w:bCs w:val="0"/>
          <w:color w:val="auto"/>
          <w:sz w:val="32"/>
          <w:szCs w:val="32"/>
        </w:rPr>
        <w:t>适度规模经营主体和服务主体的资金需求。</w:t>
      </w:r>
    </w:p>
    <w:p w14:paraId="2C057C9B">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bCs/>
          <w:color w:val="auto"/>
          <w:sz w:val="32"/>
          <w:szCs w:val="32"/>
          <w:lang w:val="en-US" w:eastAsia="zh-CN"/>
        </w:rPr>
        <w:t>18.提升</w:t>
      </w:r>
      <w:r>
        <w:rPr>
          <w:rFonts w:hint="default" w:ascii="Times New Roman" w:hAnsi="Times New Roman" w:eastAsia="仿宋_GB2312" w:cs="Times New Roman"/>
          <w:b/>
          <w:bCs/>
          <w:color w:val="auto"/>
          <w:sz w:val="32"/>
          <w:szCs w:val="32"/>
        </w:rPr>
        <w:t>社会化服务</w:t>
      </w:r>
      <w:r>
        <w:rPr>
          <w:rFonts w:hint="default" w:ascii="Times New Roman" w:hAnsi="Times New Roman" w:eastAsia="仿宋_GB2312" w:cs="Times New Roman"/>
          <w:b/>
          <w:bCs/>
          <w:color w:val="auto"/>
          <w:sz w:val="32"/>
          <w:szCs w:val="32"/>
          <w:lang w:val="en-US" w:eastAsia="zh-CN"/>
        </w:rPr>
        <w:t>能力</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color w:val="auto"/>
          <w:sz w:val="32"/>
          <w:szCs w:val="32"/>
          <w:lang w:val="en-US" w:eastAsia="zh-CN"/>
        </w:rPr>
        <w:t>联合全旗的农资经销商、农机合作社、新型集体经济股份合作社、新型集体经济企业等</w:t>
      </w:r>
      <w:r>
        <w:rPr>
          <w:rFonts w:hint="default" w:ascii="Times New Roman" w:hAnsi="Times New Roman" w:eastAsia="仿宋_GB2312" w:cs="Times New Roman"/>
          <w:color w:val="auto"/>
          <w:sz w:val="32"/>
          <w:szCs w:val="32"/>
          <w:lang w:val="en-US" w:eastAsia="zh-CN"/>
        </w:rPr>
        <w:t>，新建</w:t>
      </w:r>
      <w:r>
        <w:rPr>
          <w:rFonts w:hint="default" w:ascii="Times New Roman" w:hAnsi="Times New Roman" w:eastAsia="仿宋_GB2312" w:cs="Times New Roman"/>
          <w:color w:val="auto"/>
          <w:sz w:val="32"/>
          <w:szCs w:val="32"/>
          <w:lang w:val="en-US" w:eastAsia="zh-CN"/>
        </w:rPr>
        <w:t>20万吨级液体肥生产</w:t>
      </w:r>
      <w:r>
        <w:rPr>
          <w:rFonts w:hint="default" w:ascii="Times New Roman" w:hAnsi="Times New Roman" w:eastAsia="仿宋_GB2312" w:cs="Times New Roman"/>
          <w:color w:val="auto"/>
          <w:sz w:val="32"/>
          <w:szCs w:val="32"/>
          <w:lang w:val="en-US" w:eastAsia="zh-CN"/>
        </w:rPr>
        <w:t>线，</w:t>
      </w:r>
      <w:r>
        <w:rPr>
          <w:rFonts w:hint="default" w:ascii="Times New Roman" w:hAnsi="Times New Roman" w:eastAsia="仿宋_GB2312" w:cs="Times New Roman"/>
          <w:b w:val="0"/>
          <w:bCs w:val="0"/>
          <w:color w:val="auto"/>
          <w:kern w:val="0"/>
          <w:sz w:val="32"/>
          <w:szCs w:val="24"/>
          <w:lang w:val="en-US" w:eastAsia="zh-CN" w:bidi="ar"/>
        </w:rPr>
        <w:t>培育社会化服务组织25个，服务面积突破25万亩。</w:t>
      </w:r>
      <w:r>
        <w:rPr>
          <w:rFonts w:hint="default" w:ascii="Times New Roman" w:hAnsi="Times New Roman" w:eastAsia="仿宋_GB2312" w:cs="Times New Roman"/>
          <w:color w:val="auto"/>
          <w:sz w:val="32"/>
          <w:szCs w:val="32"/>
          <w:lang w:val="en-US" w:eastAsia="zh-CN"/>
        </w:rPr>
        <w:t>完成抓绒服务2</w:t>
      </w:r>
      <w:r>
        <w:rPr>
          <w:rFonts w:hint="default" w:ascii="Times New Roman" w:hAnsi="Times New Roman" w:eastAsia="仿宋_GB2312" w:cs="Times New Roman"/>
          <w:color w:val="auto"/>
          <w:sz w:val="32"/>
          <w:szCs w:val="32"/>
          <w:lang w:val="en-US" w:eastAsia="zh-CN"/>
        </w:rPr>
        <w:t>万</w:t>
      </w:r>
      <w:r>
        <w:rPr>
          <w:rFonts w:hint="default" w:ascii="Times New Roman" w:hAnsi="Times New Roman" w:eastAsia="仿宋_GB2312" w:cs="Times New Roman"/>
          <w:color w:val="auto"/>
          <w:sz w:val="32"/>
          <w:szCs w:val="32"/>
          <w:lang w:val="en-US" w:eastAsia="zh-CN"/>
        </w:rPr>
        <w:t>只、人工授精社会化服务2</w:t>
      </w:r>
      <w:r>
        <w:rPr>
          <w:rFonts w:hint="default" w:ascii="Times New Roman" w:hAnsi="Times New Roman" w:eastAsia="仿宋_GB2312" w:cs="Times New Roman"/>
          <w:color w:val="auto"/>
          <w:sz w:val="32"/>
          <w:szCs w:val="32"/>
          <w:lang w:val="en-US" w:eastAsia="zh-CN"/>
        </w:rPr>
        <w:t>万</w:t>
      </w:r>
      <w:r>
        <w:rPr>
          <w:rFonts w:hint="default" w:ascii="Times New Roman" w:hAnsi="Times New Roman" w:eastAsia="仿宋_GB2312" w:cs="Times New Roman"/>
          <w:color w:val="auto"/>
          <w:sz w:val="32"/>
          <w:szCs w:val="32"/>
          <w:lang w:val="en-US" w:eastAsia="zh-CN"/>
        </w:rPr>
        <w:t>只</w:t>
      </w:r>
      <w:r>
        <w:rPr>
          <w:rFonts w:hint="default" w:ascii="Times New Roman" w:hAnsi="Times New Roman" w:eastAsia="仿宋_GB2312" w:cs="Times New Roman"/>
          <w:color w:val="auto"/>
          <w:sz w:val="32"/>
          <w:szCs w:val="32"/>
          <w:lang w:val="en-US" w:eastAsia="zh-CN"/>
        </w:rPr>
        <w:t>。</w:t>
      </w:r>
    </w:p>
    <w:p w14:paraId="2EBFD7E2">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bCs/>
          <w:color w:val="auto"/>
          <w:kern w:val="0"/>
          <w:sz w:val="32"/>
          <w:szCs w:val="24"/>
          <w:lang w:val="en-US" w:eastAsia="zh-CN" w:bidi="ar"/>
        </w:rPr>
        <w:t>19.鼓励农村集体经济组织开展服务。</w:t>
      </w:r>
      <w:r>
        <w:rPr>
          <w:rFonts w:hint="default" w:ascii="Times New Roman" w:hAnsi="Times New Roman" w:eastAsia="仿宋_GB2312" w:cs="Times New Roman"/>
          <w:b w:val="0"/>
          <w:bCs w:val="0"/>
          <w:color w:val="auto"/>
          <w:kern w:val="0"/>
          <w:sz w:val="32"/>
          <w:szCs w:val="24"/>
          <w:lang w:val="en-US" w:eastAsia="zh-CN" w:bidi="ar"/>
        </w:rPr>
        <w:t>充分发挥农村牧区集体经济组织“统”的功能，</w:t>
      </w:r>
      <w:r>
        <w:rPr>
          <w:rFonts w:hint="default" w:ascii="Times New Roman" w:hAnsi="Times New Roman" w:eastAsia="仿宋_GB2312" w:cs="Times New Roman"/>
          <w:b w:val="0"/>
          <w:bCs w:val="0"/>
          <w:color w:val="auto"/>
          <w:sz w:val="32"/>
          <w:szCs w:val="32"/>
        </w:rPr>
        <w:t>围绕发展</w:t>
      </w:r>
      <w:r>
        <w:rPr>
          <w:rFonts w:hint="default" w:ascii="Times New Roman" w:hAnsi="Times New Roman" w:eastAsia="仿宋_GB2312" w:cs="Times New Roman"/>
          <w:b w:val="0"/>
          <w:bCs w:val="0"/>
          <w:color w:val="auto"/>
          <w:sz w:val="32"/>
          <w:szCs w:val="32"/>
          <w:lang w:val="en-US" w:eastAsia="zh-CN"/>
        </w:rPr>
        <w:t>农牧业</w:t>
      </w:r>
      <w:r>
        <w:rPr>
          <w:rFonts w:hint="default" w:ascii="Times New Roman" w:hAnsi="Times New Roman" w:eastAsia="仿宋_GB2312" w:cs="Times New Roman"/>
          <w:b w:val="0"/>
          <w:bCs w:val="0"/>
          <w:color w:val="auto"/>
          <w:sz w:val="32"/>
          <w:szCs w:val="32"/>
        </w:rPr>
        <w:t>适度规模经营，发挥其居间服务优势</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lang w:val="en-US" w:eastAsia="zh-CN"/>
        </w:rPr>
        <w:t>助推嘎查村集体经济收入达到30万元。</w:t>
      </w:r>
    </w:p>
    <w:p w14:paraId="4D733AE4">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bCs/>
          <w:color w:val="auto"/>
          <w:sz w:val="32"/>
          <w:szCs w:val="32"/>
          <w:lang w:val="en-US" w:eastAsia="zh-CN"/>
        </w:rPr>
        <w:t>20.</w:t>
      </w:r>
      <w:r>
        <w:rPr>
          <w:rFonts w:hint="default" w:ascii="Times New Roman" w:hAnsi="Times New Roman" w:eastAsia="仿宋_GB2312" w:cs="Times New Roman"/>
          <w:b/>
          <w:bCs/>
          <w:color w:val="auto"/>
          <w:sz w:val="32"/>
          <w:szCs w:val="32"/>
        </w:rPr>
        <w:t>强化农</w:t>
      </w:r>
      <w:r>
        <w:rPr>
          <w:rFonts w:hint="default" w:ascii="Times New Roman" w:hAnsi="Times New Roman" w:eastAsia="仿宋_GB2312" w:cs="Times New Roman"/>
          <w:b/>
          <w:bCs/>
          <w:color w:val="auto"/>
          <w:sz w:val="32"/>
          <w:szCs w:val="32"/>
          <w:lang w:val="en-US" w:eastAsia="zh-CN"/>
        </w:rPr>
        <w:t>牧</w:t>
      </w:r>
      <w:r>
        <w:rPr>
          <w:rFonts w:hint="default" w:ascii="Times New Roman" w:hAnsi="Times New Roman" w:eastAsia="仿宋_GB2312" w:cs="Times New Roman"/>
          <w:b/>
          <w:bCs/>
          <w:color w:val="auto"/>
          <w:sz w:val="32"/>
          <w:szCs w:val="32"/>
        </w:rPr>
        <w:t>业科技支撑</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val="0"/>
          <w:bCs w:val="0"/>
          <w:color w:val="auto"/>
          <w:sz w:val="32"/>
          <w:szCs w:val="32"/>
        </w:rPr>
        <w:t>建立</w:t>
      </w:r>
      <w:r>
        <w:rPr>
          <w:rFonts w:hint="default" w:ascii="Times New Roman" w:hAnsi="Times New Roman" w:eastAsia="仿宋_GB2312" w:cs="Times New Roman"/>
          <w:color w:val="auto"/>
          <w:sz w:val="32"/>
          <w:szCs w:val="32"/>
          <w:lang w:val="en-US" w:eastAsia="zh-CN"/>
        </w:rPr>
        <w:t>全旗农牧业社会化服务数字</w:t>
      </w:r>
      <w:r>
        <w:rPr>
          <w:rFonts w:hint="default" w:ascii="Times New Roman" w:hAnsi="Times New Roman" w:eastAsia="仿宋_GB2312" w:cs="Times New Roman"/>
          <w:color w:val="auto"/>
          <w:sz w:val="32"/>
          <w:szCs w:val="32"/>
          <w:lang w:val="en-US" w:eastAsia="zh-CN"/>
        </w:rPr>
        <w:t>平台，以中国农大教授工作站为技术支撑，</w:t>
      </w:r>
      <w:r>
        <w:rPr>
          <w:rFonts w:hint="default" w:ascii="Times New Roman" w:hAnsi="Times New Roman" w:eastAsia="仿宋_GB2312" w:cs="Times New Roman"/>
          <w:color w:val="auto"/>
          <w:sz w:val="32"/>
          <w:szCs w:val="32"/>
          <w:lang w:val="en-US" w:eastAsia="zh-CN"/>
        </w:rPr>
        <w:t>利用智慧园区、</w:t>
      </w:r>
      <w:r>
        <w:rPr>
          <w:rFonts w:hint="default" w:ascii="Times New Roman" w:hAnsi="Times New Roman" w:eastAsia="仿宋_GB2312" w:cs="Times New Roman"/>
          <w:color w:val="auto"/>
          <w:sz w:val="32"/>
          <w:szCs w:val="32"/>
          <w:lang w:val="en-US" w:eastAsia="zh-CN"/>
        </w:rPr>
        <w:t>数字移动微服站</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土壤和水速测实验室，</w:t>
      </w:r>
      <w:r>
        <w:rPr>
          <w:rFonts w:hint="default" w:ascii="Times New Roman" w:hAnsi="Times New Roman" w:eastAsia="仿宋_GB2312" w:cs="Times New Roman"/>
          <w:b w:val="0"/>
          <w:bCs w:val="0"/>
          <w:color w:val="auto"/>
          <w:sz w:val="32"/>
          <w:szCs w:val="32"/>
        </w:rPr>
        <w:t>探索“技物结合”“技术托管”“田间学校”等模式</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color w:val="auto"/>
          <w:sz w:val="32"/>
          <w:szCs w:val="32"/>
          <w:lang w:val="en-US" w:eastAsia="zh-CN"/>
        </w:rPr>
        <w:t>面向广大种植户和家庭农场及农业生产企业开展</w:t>
      </w:r>
      <w:r>
        <w:rPr>
          <w:rFonts w:hint="default" w:ascii="Times New Roman" w:hAnsi="Times New Roman" w:eastAsia="仿宋_GB2312" w:cs="Times New Roman"/>
          <w:color w:val="auto"/>
          <w:sz w:val="32"/>
          <w:szCs w:val="32"/>
          <w:lang w:val="en-US" w:eastAsia="zh-CN"/>
        </w:rPr>
        <w:t>科技</w:t>
      </w:r>
      <w:r>
        <w:rPr>
          <w:rFonts w:hint="default" w:ascii="Times New Roman" w:hAnsi="Times New Roman" w:eastAsia="仿宋_GB2312" w:cs="Times New Roman"/>
          <w:color w:val="auto"/>
          <w:sz w:val="32"/>
          <w:szCs w:val="32"/>
          <w:lang w:val="en-US" w:eastAsia="zh-CN"/>
        </w:rPr>
        <w:t>服务</w:t>
      </w:r>
      <w:r>
        <w:rPr>
          <w:rFonts w:hint="default" w:ascii="Times New Roman" w:hAnsi="Times New Roman" w:eastAsia="仿宋_GB2312" w:cs="Times New Roman"/>
          <w:b w:val="0"/>
          <w:bCs w:val="0"/>
          <w:color w:val="auto"/>
          <w:sz w:val="32"/>
          <w:szCs w:val="32"/>
        </w:rPr>
        <w:t>，提高</w:t>
      </w:r>
      <w:r>
        <w:rPr>
          <w:rFonts w:hint="default" w:ascii="Times New Roman" w:hAnsi="Times New Roman" w:eastAsia="仿宋_GB2312" w:cs="Times New Roman"/>
          <w:b w:val="0"/>
          <w:bCs w:val="0"/>
          <w:color w:val="auto"/>
          <w:sz w:val="32"/>
          <w:szCs w:val="32"/>
          <w:lang w:val="en-US" w:eastAsia="zh-CN"/>
        </w:rPr>
        <w:t>农牧民</w:t>
      </w:r>
      <w:r>
        <w:rPr>
          <w:rFonts w:hint="default" w:ascii="Times New Roman" w:hAnsi="Times New Roman" w:eastAsia="仿宋_GB2312" w:cs="Times New Roman"/>
          <w:b w:val="0"/>
          <w:bCs w:val="0"/>
          <w:color w:val="auto"/>
          <w:sz w:val="32"/>
          <w:szCs w:val="32"/>
        </w:rPr>
        <w:t>科技素质和经营管理水平。</w:t>
      </w:r>
    </w:p>
    <w:p w14:paraId="21DED1FD">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CESI黑体-GB2312" w:cs="Times New Roman"/>
          <w:b w:val="0"/>
          <w:bCs w:val="0"/>
          <w:color w:val="auto"/>
          <w:sz w:val="32"/>
          <w:szCs w:val="32"/>
          <w:lang w:val="en-US" w:eastAsia="zh-CN"/>
        </w:rPr>
      </w:pPr>
      <w:r>
        <w:rPr>
          <w:rStyle w:val="21"/>
          <w:rFonts w:hint="default" w:ascii="Times New Roman" w:hAnsi="Times New Roman" w:eastAsia="黑体" w:cs="Times New Roman"/>
          <w:b w:val="0"/>
          <w:bCs w:val="0"/>
          <w:color w:val="auto"/>
          <w:sz w:val="32"/>
          <w:szCs w:val="32"/>
          <w:lang w:val="en-US" w:eastAsia="zh-CN"/>
        </w:rPr>
        <w:t>三、</w:t>
      </w:r>
      <w:r>
        <w:rPr>
          <w:rFonts w:hint="default" w:ascii="Times New Roman" w:hAnsi="Times New Roman" w:eastAsia="CESI黑体-GB2312" w:cs="Times New Roman"/>
          <w:b w:val="0"/>
          <w:bCs w:val="0"/>
          <w:color w:val="auto"/>
          <w:sz w:val="32"/>
          <w:szCs w:val="32"/>
          <w:lang w:eastAsia="zh-CN"/>
        </w:rPr>
        <w:t>重点项目</w:t>
      </w:r>
      <w:r>
        <w:rPr>
          <w:rFonts w:hint="default" w:ascii="Times New Roman" w:hAnsi="Times New Roman" w:eastAsia="CESI黑体-GB2312" w:cs="Times New Roman"/>
          <w:b w:val="0"/>
          <w:bCs w:val="0"/>
          <w:color w:val="auto"/>
          <w:sz w:val="32"/>
          <w:szCs w:val="32"/>
          <w:lang w:val="en-US" w:eastAsia="zh-CN"/>
        </w:rPr>
        <w:t>建设与投资</w:t>
      </w:r>
    </w:p>
    <w:p w14:paraId="195E36AB">
      <w:pPr>
        <w:pStyle w:val="16"/>
        <w:keepNext w:val="0"/>
        <w:keepLines w:val="0"/>
        <w:pageBreakBefore w:val="0"/>
        <w:widowControl w:val="0"/>
        <w:tabs>
          <w:tab w:val="right" w:leader="dot" w:pos="8834"/>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农牧业领域将大力推进规模化发展进程，精心布局并拟实施8个重点项目，涵盖种养殖规模化升级、农牧业基础设施建设等多个关键领域，总投资19.308亿元，通过“政府+企业”投资方式，进一步激发市场活力，实现多方协同共进。这些项目的落地实施，将有效提升农牧业生产效率，促进产业升级，带动周边农牧民增收致富。通过规模化发展，推动农牧业向集约化、标准化、产业化方向迈进，增强农牧业综合竞争力，助力乡村振兴战略深入实施。</w:t>
      </w:r>
    </w:p>
    <w:p w14:paraId="173511E6">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黑体" w:cs="Times New Roman"/>
          <w:b w:val="0"/>
          <w:bCs w:val="0"/>
          <w:color w:val="auto"/>
          <w:sz w:val="32"/>
          <w:szCs w:val="32"/>
        </w:rPr>
      </w:pPr>
      <w:r>
        <w:rPr>
          <w:rStyle w:val="21"/>
          <w:rFonts w:hint="default" w:ascii="Times New Roman" w:hAnsi="Times New Roman" w:eastAsia="黑体" w:cs="Times New Roman"/>
          <w:b w:val="0"/>
          <w:bCs w:val="0"/>
          <w:color w:val="auto"/>
          <w:sz w:val="32"/>
          <w:szCs w:val="32"/>
          <w:lang w:eastAsia="zh-CN"/>
        </w:rPr>
        <w:t>四、</w:t>
      </w:r>
      <w:r>
        <w:rPr>
          <w:rStyle w:val="21"/>
          <w:rFonts w:hint="default" w:ascii="Times New Roman" w:hAnsi="Times New Roman" w:eastAsia="黑体" w:cs="Times New Roman"/>
          <w:b w:val="0"/>
          <w:bCs w:val="0"/>
          <w:color w:val="auto"/>
          <w:sz w:val="32"/>
          <w:szCs w:val="32"/>
        </w:rPr>
        <w:t>保障措施</w:t>
      </w:r>
    </w:p>
    <w:p w14:paraId="20FD717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color w:val="auto"/>
          <w:kern w:val="0"/>
          <w:sz w:val="32"/>
          <w:szCs w:val="32"/>
          <w:lang w:val="en-US" w:eastAsia="zh-CN" w:bidi="ar"/>
        </w:rPr>
      </w:pPr>
      <w:r>
        <w:rPr>
          <w:rFonts w:hint="default" w:ascii="Times New Roman" w:hAnsi="Times New Roman" w:eastAsia="仿宋_GB2312" w:cs="Times New Roman"/>
          <w:color w:val="auto"/>
          <w:kern w:val="2"/>
          <w:sz w:val="32"/>
          <w:szCs w:val="32"/>
          <w:lang w:val="en-US" w:eastAsia="zh-CN" w:bidi="ar-SA"/>
        </w:rPr>
        <w:t xml:space="preserve">  </w:t>
      </w:r>
      <w:r>
        <w:rPr>
          <w:rFonts w:hint="default" w:ascii="Times New Roman" w:hAnsi="Times New Roman" w:eastAsia="仿宋_GB2312" w:cs="Times New Roman"/>
          <w:color w:val="auto"/>
          <w:kern w:val="0"/>
          <w:sz w:val="32"/>
          <w:szCs w:val="32"/>
          <w:lang w:val="en-US" w:eastAsia="zh-CN" w:bidi="ar"/>
        </w:rPr>
        <w:t xml:space="preserve">  各镇、各部门要高度重视，加强协同配合，旗农牧和水利局牵头加快构建抓落实的体制机制工作链，为农牧业适度规模经营高质量发展提供坚强组织保障；各镇需统筹规划，将推进农牧业规模化发展、壮大新型农村牧区集体经济作为乡村全面振兴重要抓手，抓好贯彻落实。同时，设立农牧业规模化发展资金，鼓励符合条件的新型经营主体与服务主体承担涉农涉牧项目，扩大农牧业保险覆盖面，丰富产品类型，探索产量、气象指数、农产品价格和收入保险，建立第三方灾害损失评估与政府监督理赔机制，确保受灾农牧户及时足额获赔。此外，依托报刊、电视、网络等媒体，广泛宣传法律法规以引导农牧民规范土地流转、接受生产托管，大力推介先进典型与创新做法，营造良好发展氛围。</w:t>
      </w:r>
    </w:p>
    <w:p w14:paraId="228D30D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小标宋简体" w:cs="Times New Roman"/>
          <w:b w:val="0"/>
          <w:bCs w:val="0"/>
          <w:color w:val="auto"/>
          <w:kern w:val="2"/>
          <w:sz w:val="32"/>
          <w:szCs w:val="24"/>
          <w:highlight w:val="none"/>
          <w:lang w:val="en-US" w:eastAsia="zh-CN" w:bidi="ar-SA"/>
        </w:rPr>
      </w:pPr>
      <w:r>
        <w:rPr>
          <w:rFonts w:hint="default" w:ascii="Times New Roman" w:hAnsi="Times New Roman" w:eastAsia="仿宋_GB2312" w:cs="Times New Roman"/>
          <w:b w:val="0"/>
          <w:bCs w:val="0"/>
          <w:color w:val="auto"/>
          <w:sz w:val="32"/>
          <w:szCs w:val="32"/>
        </w:rPr>
        <w:br w:type="page"/>
      </w:r>
      <w:r>
        <w:rPr>
          <w:rFonts w:hint="default" w:ascii="Times New Roman" w:hAnsi="Times New Roman" w:eastAsia="方正小标宋简体" w:cs="Times New Roman"/>
          <w:b w:val="0"/>
          <w:bCs w:val="0"/>
          <w:color w:val="auto"/>
          <w:kern w:val="2"/>
          <w:sz w:val="28"/>
          <w:szCs w:val="22"/>
          <w:highlight w:val="none"/>
          <w:lang w:val="en-US" w:eastAsia="zh-CN" w:bidi="ar-SA"/>
        </w:rPr>
        <w:t>鄂托克前旗农牧业规模化发展行动实施项目统计表</w:t>
      </w:r>
    </w:p>
    <w:tbl>
      <w:tblPr>
        <w:tblStyle w:val="18"/>
        <w:tblW w:w="9536" w:type="dxa"/>
        <w:tblInd w:w="-20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57"/>
        <w:gridCol w:w="1371"/>
        <w:gridCol w:w="4807"/>
        <w:gridCol w:w="798"/>
        <w:gridCol w:w="859"/>
        <w:gridCol w:w="668"/>
        <w:gridCol w:w="476"/>
      </w:tblGrid>
      <w:tr w14:paraId="04D69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7EA96">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序号</w:t>
            </w: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DB114">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项目名称</w:t>
            </w:r>
          </w:p>
        </w:tc>
        <w:tc>
          <w:tcPr>
            <w:tcW w:w="4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65CD8">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建设内容及规模</w:t>
            </w:r>
          </w:p>
        </w:tc>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BC7A9">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投资</w:t>
            </w:r>
          </w:p>
          <w:p w14:paraId="1CCA4F27">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类型</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0D895">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总投资（万元）</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36DB7">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建设年限</w:t>
            </w:r>
          </w:p>
        </w:tc>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155D6">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备注</w:t>
            </w:r>
          </w:p>
        </w:tc>
      </w:tr>
      <w:tr w14:paraId="74A07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3" w:hRule="atLeast"/>
        </w:trPr>
        <w:tc>
          <w:tcPr>
            <w:tcW w:w="67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73EEC1">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合计</w:t>
            </w:r>
          </w:p>
        </w:tc>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DED5C">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CC222">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193080</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37C69">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p>
        </w:tc>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B2CC4">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lang w:val="en-US" w:eastAsia="zh-CN"/>
              </w:rPr>
            </w:pPr>
          </w:p>
        </w:tc>
      </w:tr>
      <w:tr w14:paraId="5C41B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2" w:hRule="atLeast"/>
        </w:trPr>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1CC4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b w:val="0"/>
                <w:bCs w:val="0"/>
                <w:i w:val="0"/>
                <w:iCs w:val="0"/>
                <w:color w:val="auto"/>
                <w:sz w:val="18"/>
                <w:szCs w:val="18"/>
                <w:u w:val="none"/>
              </w:rPr>
            </w:pPr>
            <w:r>
              <w:rPr>
                <w:rFonts w:hint="default" w:ascii="Times New Roman" w:hAnsi="Times New Roman" w:eastAsia="仿宋_GB2312" w:cs="Times New Roman"/>
                <w:b w:val="0"/>
                <w:bCs w:val="0"/>
                <w:i w:val="0"/>
                <w:iCs w:val="0"/>
                <w:color w:val="auto"/>
                <w:kern w:val="0"/>
                <w:sz w:val="18"/>
                <w:szCs w:val="18"/>
                <w:u w:val="none"/>
                <w:lang w:val="en-US" w:eastAsia="zh-CN" w:bidi="ar"/>
              </w:rPr>
              <w:t>1</w:t>
            </w: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2070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b w:val="0"/>
                <w:bCs w:val="0"/>
                <w:i w:val="0"/>
                <w:iCs w:val="0"/>
                <w:color w:val="auto"/>
                <w:sz w:val="18"/>
                <w:szCs w:val="18"/>
                <w:u w:val="none"/>
              </w:rPr>
            </w:pPr>
            <w:r>
              <w:rPr>
                <w:rFonts w:hint="default" w:ascii="Times New Roman" w:hAnsi="Times New Roman" w:eastAsia="仿宋_GB2312" w:cs="Times New Roman"/>
                <w:b w:val="0"/>
                <w:bCs w:val="0"/>
                <w:i w:val="0"/>
                <w:iCs w:val="0"/>
                <w:color w:val="auto"/>
                <w:kern w:val="0"/>
                <w:sz w:val="18"/>
                <w:szCs w:val="18"/>
                <w:u w:val="none"/>
                <w:lang w:val="en-US" w:eastAsia="zh-CN" w:bidi="ar"/>
              </w:rPr>
              <w:t>鄂托克前旗高标准农田建设项目</w:t>
            </w:r>
          </w:p>
        </w:tc>
        <w:tc>
          <w:tcPr>
            <w:tcW w:w="48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F911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b w:val="0"/>
                <w:bCs w:val="0"/>
                <w:i w:val="0"/>
                <w:iCs w:val="0"/>
                <w:color w:val="auto"/>
                <w:sz w:val="18"/>
                <w:szCs w:val="18"/>
                <w:u w:val="none"/>
              </w:rPr>
            </w:pPr>
            <w:r>
              <w:rPr>
                <w:rFonts w:hint="default" w:ascii="Times New Roman" w:hAnsi="Times New Roman" w:eastAsia="仿宋_GB2312" w:cs="Times New Roman"/>
                <w:b w:val="0"/>
                <w:bCs w:val="0"/>
                <w:i w:val="0"/>
                <w:iCs w:val="0"/>
                <w:color w:val="auto"/>
                <w:kern w:val="0"/>
                <w:sz w:val="18"/>
                <w:szCs w:val="18"/>
                <w:u w:val="none"/>
                <w:lang w:val="en-US" w:eastAsia="zh-CN" w:bidi="ar"/>
              </w:rPr>
              <w:t>建设高标准农田28.5万亩</w:t>
            </w:r>
          </w:p>
        </w:tc>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E268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b w:val="0"/>
                <w:bCs w:val="0"/>
                <w:i w:val="0"/>
                <w:iCs w:val="0"/>
                <w:color w:val="auto"/>
                <w:sz w:val="18"/>
                <w:szCs w:val="18"/>
                <w:u w:val="none"/>
              </w:rPr>
            </w:pPr>
            <w:r>
              <w:rPr>
                <w:rFonts w:hint="default" w:ascii="Times New Roman" w:hAnsi="Times New Roman" w:eastAsia="仿宋_GB2312" w:cs="Times New Roman"/>
                <w:b w:val="0"/>
                <w:bCs w:val="0"/>
                <w:i w:val="0"/>
                <w:iCs w:val="0"/>
                <w:color w:val="auto"/>
                <w:kern w:val="0"/>
                <w:sz w:val="18"/>
                <w:szCs w:val="18"/>
                <w:u w:val="none"/>
                <w:lang w:val="en-US" w:eastAsia="zh-CN" w:bidi="ar"/>
              </w:rPr>
              <w:t>政府投资</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8068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b w:val="0"/>
                <w:bCs w:val="0"/>
                <w:i w:val="0"/>
                <w:iCs w:val="0"/>
                <w:color w:val="auto"/>
                <w:sz w:val="18"/>
                <w:szCs w:val="18"/>
                <w:u w:val="none"/>
              </w:rPr>
            </w:pPr>
            <w:r>
              <w:rPr>
                <w:rFonts w:hint="default" w:ascii="Times New Roman" w:hAnsi="Times New Roman" w:eastAsia="仿宋_GB2312" w:cs="Times New Roman"/>
                <w:b w:val="0"/>
                <w:bCs w:val="0"/>
                <w:i w:val="0"/>
                <w:iCs w:val="0"/>
                <w:color w:val="auto"/>
                <w:kern w:val="0"/>
                <w:sz w:val="18"/>
                <w:szCs w:val="18"/>
                <w:u w:val="none"/>
                <w:lang w:val="en-US" w:eastAsia="zh-CN" w:bidi="ar"/>
              </w:rPr>
              <w:t>85000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B78E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b w:val="0"/>
                <w:bCs w:val="0"/>
                <w:i w:val="0"/>
                <w:iCs w:val="0"/>
                <w:color w:val="auto"/>
                <w:sz w:val="18"/>
                <w:szCs w:val="18"/>
                <w:u w:val="none"/>
              </w:rPr>
            </w:pPr>
            <w:r>
              <w:rPr>
                <w:rFonts w:hint="default" w:ascii="Times New Roman" w:hAnsi="Times New Roman" w:eastAsia="仿宋_GB2312" w:cs="Times New Roman"/>
                <w:b w:val="0"/>
                <w:bCs w:val="0"/>
                <w:i w:val="0"/>
                <w:iCs w:val="0"/>
                <w:color w:val="auto"/>
                <w:kern w:val="0"/>
                <w:sz w:val="18"/>
                <w:szCs w:val="18"/>
                <w:u w:val="none"/>
                <w:lang w:val="en-US" w:eastAsia="zh-CN" w:bidi="ar"/>
              </w:rPr>
              <w:t>2025-2030</w:t>
            </w:r>
          </w:p>
        </w:tc>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00841">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rPr>
                <w:rFonts w:hint="default" w:ascii="Times New Roman" w:hAnsi="Times New Roman" w:eastAsia="仿宋_GB2312" w:cs="Times New Roman"/>
                <w:b w:val="0"/>
                <w:bCs w:val="0"/>
                <w:i w:val="0"/>
                <w:iCs w:val="0"/>
                <w:color w:val="auto"/>
                <w:sz w:val="21"/>
                <w:szCs w:val="21"/>
                <w:u w:val="none"/>
              </w:rPr>
            </w:pPr>
          </w:p>
        </w:tc>
      </w:tr>
      <w:tr w14:paraId="7CB97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2" w:hRule="atLeast"/>
        </w:trPr>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9D88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b w:val="0"/>
                <w:bCs w:val="0"/>
                <w:i w:val="0"/>
                <w:iCs w:val="0"/>
                <w:color w:val="auto"/>
                <w:sz w:val="18"/>
                <w:szCs w:val="18"/>
                <w:u w:val="none"/>
              </w:rPr>
            </w:pPr>
            <w:r>
              <w:rPr>
                <w:rFonts w:hint="default" w:ascii="Times New Roman" w:hAnsi="Times New Roman" w:eastAsia="仿宋_GB2312" w:cs="Times New Roman"/>
                <w:b w:val="0"/>
                <w:bCs w:val="0"/>
                <w:i w:val="0"/>
                <w:iCs w:val="0"/>
                <w:color w:val="auto"/>
                <w:kern w:val="0"/>
                <w:sz w:val="18"/>
                <w:szCs w:val="18"/>
                <w:u w:val="none"/>
                <w:lang w:val="en-US" w:eastAsia="zh-CN" w:bidi="ar"/>
              </w:rPr>
              <w:t>2</w:t>
            </w: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CE16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b w:val="0"/>
                <w:bCs w:val="0"/>
                <w:i w:val="0"/>
                <w:iCs w:val="0"/>
                <w:color w:val="auto"/>
                <w:sz w:val="18"/>
                <w:szCs w:val="18"/>
                <w:u w:val="none"/>
              </w:rPr>
            </w:pPr>
            <w:r>
              <w:rPr>
                <w:rFonts w:hint="default" w:ascii="Times New Roman" w:hAnsi="Times New Roman" w:eastAsia="仿宋_GB2312" w:cs="Times New Roman"/>
                <w:b w:val="0"/>
                <w:bCs w:val="0"/>
                <w:i w:val="0"/>
                <w:iCs w:val="0"/>
                <w:color w:val="auto"/>
                <w:kern w:val="0"/>
                <w:sz w:val="18"/>
                <w:szCs w:val="18"/>
                <w:u w:val="none"/>
                <w:lang w:val="en-US" w:eastAsia="zh-CN" w:bidi="ar"/>
              </w:rPr>
              <w:t>鄂托克前旗绿色高产高效项目</w:t>
            </w:r>
          </w:p>
        </w:tc>
        <w:tc>
          <w:tcPr>
            <w:tcW w:w="4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3E55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b w:val="0"/>
                <w:bCs w:val="0"/>
                <w:i w:val="0"/>
                <w:iCs w:val="0"/>
                <w:color w:val="auto"/>
                <w:sz w:val="18"/>
                <w:szCs w:val="18"/>
                <w:u w:val="none"/>
              </w:rPr>
            </w:pPr>
            <w:r>
              <w:rPr>
                <w:rFonts w:hint="default" w:ascii="Times New Roman" w:hAnsi="Times New Roman" w:eastAsia="仿宋_GB2312" w:cs="Times New Roman"/>
                <w:b w:val="0"/>
                <w:bCs w:val="0"/>
                <w:i w:val="0"/>
                <w:iCs w:val="0"/>
                <w:color w:val="auto"/>
                <w:kern w:val="0"/>
                <w:sz w:val="18"/>
                <w:szCs w:val="18"/>
                <w:u w:val="none"/>
                <w:lang w:val="en-US" w:eastAsia="zh-CN" w:bidi="ar"/>
              </w:rPr>
              <w:t>以玉米为示范作物，每年计划建设玉米单产提升示范田10万亩。在示范片内，力争实现玉米900公斤以上创建目标，辐射带动大面积均衡增产。</w:t>
            </w:r>
          </w:p>
        </w:tc>
        <w:tc>
          <w:tcPr>
            <w:tcW w:w="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B67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b w:val="0"/>
                <w:bCs w:val="0"/>
                <w:i w:val="0"/>
                <w:iCs w:val="0"/>
                <w:color w:val="auto"/>
                <w:sz w:val="18"/>
                <w:szCs w:val="18"/>
                <w:u w:val="none"/>
              </w:rPr>
            </w:pPr>
            <w:r>
              <w:rPr>
                <w:rStyle w:val="26"/>
                <w:rFonts w:hint="default" w:ascii="Times New Roman" w:hAnsi="Times New Roman" w:eastAsia="仿宋_GB2312" w:cs="Times New Roman"/>
                <w:b w:val="0"/>
                <w:bCs w:val="0"/>
                <w:color w:val="auto"/>
                <w:sz w:val="18"/>
                <w:szCs w:val="18"/>
                <w:lang w:val="en-US" w:eastAsia="zh-CN" w:bidi="ar"/>
              </w:rPr>
              <w:t>政府投资</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CCD7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b w:val="0"/>
                <w:bCs w:val="0"/>
                <w:i w:val="0"/>
                <w:iCs w:val="0"/>
                <w:color w:val="auto"/>
                <w:sz w:val="18"/>
                <w:szCs w:val="18"/>
                <w:u w:val="none"/>
              </w:rPr>
            </w:pPr>
            <w:r>
              <w:rPr>
                <w:rFonts w:hint="default" w:ascii="Times New Roman" w:hAnsi="Times New Roman" w:eastAsia="仿宋_GB2312" w:cs="Times New Roman"/>
                <w:b w:val="0"/>
                <w:bCs w:val="0"/>
                <w:i w:val="0"/>
                <w:iCs w:val="0"/>
                <w:color w:val="auto"/>
                <w:kern w:val="0"/>
                <w:sz w:val="18"/>
                <w:szCs w:val="18"/>
                <w:u w:val="none"/>
                <w:lang w:val="en-US" w:eastAsia="zh-CN" w:bidi="ar"/>
              </w:rPr>
              <w:t>16000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BB38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b w:val="0"/>
                <w:bCs w:val="0"/>
                <w:i w:val="0"/>
                <w:iCs w:val="0"/>
                <w:color w:val="auto"/>
                <w:sz w:val="18"/>
                <w:szCs w:val="18"/>
                <w:u w:val="none"/>
              </w:rPr>
            </w:pPr>
            <w:r>
              <w:rPr>
                <w:rFonts w:hint="default" w:ascii="Times New Roman" w:hAnsi="Times New Roman" w:eastAsia="仿宋_GB2312" w:cs="Times New Roman"/>
                <w:b w:val="0"/>
                <w:bCs w:val="0"/>
                <w:i w:val="0"/>
                <w:iCs w:val="0"/>
                <w:color w:val="auto"/>
                <w:kern w:val="0"/>
                <w:sz w:val="18"/>
                <w:szCs w:val="18"/>
                <w:u w:val="none"/>
                <w:lang w:val="en-US" w:eastAsia="zh-CN" w:bidi="ar"/>
              </w:rPr>
              <w:t>2025-2030</w:t>
            </w:r>
          </w:p>
        </w:tc>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C18FE">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rPr>
                <w:rFonts w:hint="default" w:ascii="Times New Roman" w:hAnsi="Times New Roman" w:eastAsia="仿宋_GB2312" w:cs="Times New Roman"/>
                <w:b w:val="0"/>
                <w:bCs w:val="0"/>
                <w:i w:val="0"/>
                <w:iCs w:val="0"/>
                <w:color w:val="auto"/>
                <w:sz w:val="21"/>
                <w:szCs w:val="21"/>
                <w:u w:val="none"/>
              </w:rPr>
            </w:pPr>
          </w:p>
        </w:tc>
      </w:tr>
      <w:tr w14:paraId="3432C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2" w:hRule="atLeast"/>
        </w:trPr>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E090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b w:val="0"/>
                <w:bCs w:val="0"/>
                <w:i w:val="0"/>
                <w:iCs w:val="0"/>
                <w:color w:val="auto"/>
                <w:sz w:val="18"/>
                <w:szCs w:val="18"/>
                <w:u w:val="none"/>
                <w:lang w:val="en-US" w:eastAsia="zh-CN"/>
              </w:rPr>
            </w:pPr>
            <w:r>
              <w:rPr>
                <w:rFonts w:hint="default" w:ascii="Times New Roman" w:hAnsi="Times New Roman" w:eastAsia="仿宋_GB2312" w:cs="Times New Roman"/>
                <w:b w:val="0"/>
                <w:bCs w:val="0"/>
                <w:i w:val="0"/>
                <w:iCs w:val="0"/>
                <w:color w:val="auto"/>
                <w:sz w:val="18"/>
                <w:szCs w:val="18"/>
                <w:u w:val="none"/>
                <w:lang w:val="en-US" w:eastAsia="zh-CN"/>
              </w:rPr>
              <w:t>3</w:t>
            </w: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896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b w:val="0"/>
                <w:bCs w:val="0"/>
                <w:i w:val="0"/>
                <w:iCs w:val="0"/>
                <w:color w:val="auto"/>
                <w:sz w:val="18"/>
                <w:szCs w:val="18"/>
                <w:u w:val="none"/>
              </w:rPr>
            </w:pPr>
            <w:r>
              <w:rPr>
                <w:rFonts w:hint="default" w:ascii="Times New Roman" w:hAnsi="Times New Roman" w:eastAsia="仿宋_GB2312" w:cs="Times New Roman"/>
                <w:b w:val="0"/>
                <w:bCs w:val="0"/>
                <w:i w:val="0"/>
                <w:iCs w:val="0"/>
                <w:color w:val="auto"/>
                <w:kern w:val="0"/>
                <w:sz w:val="18"/>
                <w:szCs w:val="18"/>
                <w:u w:val="none"/>
                <w:lang w:val="en-US" w:eastAsia="zh-CN" w:bidi="ar"/>
              </w:rPr>
              <w:t>肉羊新品种培育项目</w:t>
            </w:r>
          </w:p>
        </w:tc>
        <w:tc>
          <w:tcPr>
            <w:tcW w:w="4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A1B2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b w:val="0"/>
                <w:bCs w:val="0"/>
                <w:i w:val="0"/>
                <w:iCs w:val="0"/>
                <w:color w:val="auto"/>
                <w:sz w:val="18"/>
                <w:szCs w:val="18"/>
                <w:u w:val="none"/>
              </w:rPr>
            </w:pPr>
            <w:r>
              <w:rPr>
                <w:rFonts w:hint="default" w:ascii="Times New Roman" w:hAnsi="Times New Roman" w:eastAsia="仿宋_GB2312" w:cs="Times New Roman"/>
                <w:b w:val="0"/>
                <w:bCs w:val="0"/>
                <w:i w:val="0"/>
                <w:iCs w:val="0"/>
                <w:color w:val="auto"/>
                <w:kern w:val="0"/>
                <w:sz w:val="18"/>
                <w:szCs w:val="18"/>
                <w:u w:val="none"/>
                <w:lang w:val="en-US" w:eastAsia="zh-CN" w:bidi="ar"/>
              </w:rPr>
              <w:t>与高等院校及育种企业深度合作，建立鄂托克前旗肉羊生物育种研究院，开展肉羊新品种培育。</w:t>
            </w:r>
          </w:p>
        </w:tc>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5683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b w:val="0"/>
                <w:bCs w:val="0"/>
                <w:i w:val="0"/>
                <w:iCs w:val="0"/>
                <w:color w:val="auto"/>
                <w:sz w:val="18"/>
                <w:szCs w:val="18"/>
                <w:u w:val="none"/>
              </w:rPr>
            </w:pPr>
            <w:r>
              <w:rPr>
                <w:rFonts w:hint="default" w:ascii="Times New Roman" w:hAnsi="Times New Roman" w:eastAsia="仿宋_GB2312" w:cs="Times New Roman"/>
                <w:b w:val="0"/>
                <w:bCs w:val="0"/>
                <w:i w:val="0"/>
                <w:iCs w:val="0"/>
                <w:color w:val="auto"/>
                <w:kern w:val="0"/>
                <w:sz w:val="18"/>
                <w:szCs w:val="18"/>
                <w:u w:val="none"/>
                <w:lang w:val="en-US" w:eastAsia="zh-CN" w:bidi="ar"/>
              </w:rPr>
              <w:t>政府+企业投资</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70D6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b w:val="0"/>
                <w:bCs w:val="0"/>
                <w:i w:val="0"/>
                <w:iCs w:val="0"/>
                <w:color w:val="auto"/>
                <w:sz w:val="18"/>
                <w:szCs w:val="18"/>
                <w:u w:val="none"/>
              </w:rPr>
            </w:pPr>
            <w:r>
              <w:rPr>
                <w:rFonts w:hint="default" w:ascii="Times New Roman" w:hAnsi="Times New Roman" w:eastAsia="仿宋_GB2312" w:cs="Times New Roman"/>
                <w:b w:val="0"/>
                <w:bCs w:val="0"/>
                <w:i w:val="0"/>
                <w:iCs w:val="0"/>
                <w:color w:val="auto"/>
                <w:kern w:val="0"/>
                <w:sz w:val="18"/>
                <w:szCs w:val="18"/>
                <w:u w:val="none"/>
                <w:lang w:val="en-US" w:eastAsia="zh-CN" w:bidi="ar"/>
              </w:rPr>
              <w:t>3000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3D5D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b w:val="0"/>
                <w:bCs w:val="0"/>
                <w:i w:val="0"/>
                <w:iCs w:val="0"/>
                <w:color w:val="auto"/>
                <w:sz w:val="18"/>
                <w:szCs w:val="18"/>
                <w:u w:val="none"/>
              </w:rPr>
            </w:pPr>
            <w:r>
              <w:rPr>
                <w:rFonts w:hint="default" w:ascii="Times New Roman" w:hAnsi="Times New Roman" w:eastAsia="仿宋_GB2312" w:cs="Times New Roman"/>
                <w:b w:val="0"/>
                <w:bCs w:val="0"/>
                <w:i w:val="0"/>
                <w:iCs w:val="0"/>
                <w:color w:val="auto"/>
                <w:kern w:val="0"/>
                <w:sz w:val="18"/>
                <w:szCs w:val="18"/>
                <w:u w:val="none"/>
                <w:lang w:val="en-US" w:eastAsia="zh-CN" w:bidi="ar"/>
              </w:rPr>
              <w:t>2026-2030</w:t>
            </w:r>
          </w:p>
        </w:tc>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317B5">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rPr>
                <w:rFonts w:hint="default" w:ascii="Times New Roman" w:hAnsi="Times New Roman" w:eastAsia="仿宋_GB2312" w:cs="Times New Roman"/>
                <w:b w:val="0"/>
                <w:bCs w:val="0"/>
                <w:i w:val="0"/>
                <w:iCs w:val="0"/>
                <w:color w:val="auto"/>
                <w:sz w:val="21"/>
                <w:szCs w:val="21"/>
                <w:u w:val="none"/>
              </w:rPr>
            </w:pPr>
          </w:p>
        </w:tc>
      </w:tr>
      <w:tr w14:paraId="7C001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5" w:hRule="atLeast"/>
        </w:trPr>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2193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b w:val="0"/>
                <w:bCs w:val="0"/>
                <w:i w:val="0"/>
                <w:iCs w:val="0"/>
                <w:color w:val="auto"/>
                <w:sz w:val="18"/>
                <w:szCs w:val="18"/>
                <w:u w:val="none"/>
                <w:lang w:val="en-US" w:eastAsia="zh-CN"/>
              </w:rPr>
            </w:pPr>
            <w:r>
              <w:rPr>
                <w:rFonts w:hint="default" w:ascii="Times New Roman" w:hAnsi="Times New Roman" w:eastAsia="仿宋_GB2312" w:cs="Times New Roman"/>
                <w:b w:val="0"/>
                <w:bCs w:val="0"/>
                <w:i w:val="0"/>
                <w:iCs w:val="0"/>
                <w:color w:val="auto"/>
                <w:sz w:val="18"/>
                <w:szCs w:val="18"/>
                <w:u w:val="none"/>
                <w:lang w:val="en-US" w:eastAsia="zh-CN"/>
              </w:rPr>
              <w:t>4</w:t>
            </w: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2467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b w:val="0"/>
                <w:bCs w:val="0"/>
                <w:i w:val="0"/>
                <w:iCs w:val="0"/>
                <w:color w:val="auto"/>
                <w:sz w:val="18"/>
                <w:szCs w:val="18"/>
                <w:u w:val="none"/>
              </w:rPr>
            </w:pPr>
            <w:r>
              <w:rPr>
                <w:rFonts w:hint="default" w:ascii="Times New Roman" w:hAnsi="Times New Roman" w:eastAsia="仿宋_GB2312" w:cs="Times New Roman"/>
                <w:b w:val="0"/>
                <w:bCs w:val="0"/>
                <w:i w:val="0"/>
                <w:iCs w:val="0"/>
                <w:color w:val="auto"/>
                <w:kern w:val="0"/>
                <w:sz w:val="18"/>
                <w:szCs w:val="18"/>
                <w:u w:val="none"/>
                <w:lang w:val="en-US" w:eastAsia="zh-CN" w:bidi="ar"/>
              </w:rPr>
              <w:t>蒙古羊（滩羊）种业提升项目</w:t>
            </w:r>
          </w:p>
        </w:tc>
        <w:tc>
          <w:tcPr>
            <w:tcW w:w="4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3BDB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b w:val="0"/>
                <w:bCs w:val="0"/>
                <w:i w:val="0"/>
                <w:iCs w:val="0"/>
                <w:color w:val="auto"/>
                <w:sz w:val="18"/>
                <w:szCs w:val="18"/>
                <w:u w:val="none"/>
              </w:rPr>
            </w:pPr>
            <w:r>
              <w:rPr>
                <w:rFonts w:hint="default" w:ascii="Times New Roman" w:hAnsi="Times New Roman" w:eastAsia="仿宋_GB2312" w:cs="Times New Roman"/>
                <w:b w:val="0"/>
                <w:bCs w:val="0"/>
                <w:i w:val="0"/>
                <w:iCs w:val="0"/>
                <w:color w:val="auto"/>
                <w:kern w:val="0"/>
                <w:sz w:val="18"/>
                <w:szCs w:val="18"/>
                <w:u w:val="none"/>
                <w:lang w:val="en-US" w:eastAsia="zh-CN" w:bidi="ar"/>
              </w:rPr>
              <w:t>开展蒙古羊（滩羊）保种及种业提升工程，与高等院校合作开展蒙古羊种业提升工程</w:t>
            </w:r>
          </w:p>
        </w:tc>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A91A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b w:val="0"/>
                <w:bCs w:val="0"/>
                <w:i w:val="0"/>
                <w:iCs w:val="0"/>
                <w:color w:val="auto"/>
                <w:sz w:val="18"/>
                <w:szCs w:val="18"/>
                <w:u w:val="none"/>
              </w:rPr>
            </w:pPr>
            <w:r>
              <w:rPr>
                <w:rFonts w:hint="default" w:ascii="Times New Roman" w:hAnsi="Times New Roman" w:eastAsia="仿宋_GB2312" w:cs="Times New Roman"/>
                <w:b w:val="0"/>
                <w:bCs w:val="0"/>
                <w:i w:val="0"/>
                <w:iCs w:val="0"/>
                <w:color w:val="auto"/>
                <w:kern w:val="0"/>
                <w:sz w:val="18"/>
                <w:szCs w:val="18"/>
                <w:u w:val="none"/>
                <w:lang w:val="en-US" w:eastAsia="zh-CN" w:bidi="ar"/>
              </w:rPr>
              <w:t>政府+企业投资</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4367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b w:val="0"/>
                <w:bCs w:val="0"/>
                <w:i w:val="0"/>
                <w:iCs w:val="0"/>
                <w:color w:val="auto"/>
                <w:sz w:val="18"/>
                <w:szCs w:val="18"/>
                <w:u w:val="none"/>
              </w:rPr>
            </w:pPr>
            <w:r>
              <w:rPr>
                <w:rFonts w:hint="default" w:ascii="Times New Roman" w:hAnsi="Times New Roman" w:eastAsia="仿宋_GB2312" w:cs="Times New Roman"/>
                <w:b w:val="0"/>
                <w:bCs w:val="0"/>
                <w:i w:val="0"/>
                <w:iCs w:val="0"/>
                <w:color w:val="auto"/>
                <w:kern w:val="0"/>
                <w:sz w:val="18"/>
                <w:szCs w:val="18"/>
                <w:u w:val="none"/>
                <w:lang w:val="en-US" w:eastAsia="zh-CN" w:bidi="ar"/>
              </w:rPr>
              <w:t>2000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B0B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b w:val="0"/>
                <w:bCs w:val="0"/>
                <w:i w:val="0"/>
                <w:iCs w:val="0"/>
                <w:color w:val="auto"/>
                <w:sz w:val="18"/>
                <w:szCs w:val="18"/>
                <w:u w:val="none"/>
              </w:rPr>
            </w:pPr>
            <w:r>
              <w:rPr>
                <w:rFonts w:hint="default" w:ascii="Times New Roman" w:hAnsi="Times New Roman" w:eastAsia="仿宋_GB2312" w:cs="Times New Roman"/>
                <w:b w:val="0"/>
                <w:bCs w:val="0"/>
                <w:i w:val="0"/>
                <w:iCs w:val="0"/>
                <w:color w:val="auto"/>
                <w:kern w:val="0"/>
                <w:sz w:val="18"/>
                <w:szCs w:val="18"/>
                <w:u w:val="none"/>
                <w:lang w:val="en-US" w:eastAsia="zh-CN" w:bidi="ar"/>
              </w:rPr>
              <w:t>2026-2030</w:t>
            </w:r>
          </w:p>
        </w:tc>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C305D">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rPr>
                <w:rFonts w:hint="default" w:ascii="Times New Roman" w:hAnsi="Times New Roman" w:eastAsia="仿宋_GB2312" w:cs="Times New Roman"/>
                <w:b w:val="0"/>
                <w:bCs w:val="0"/>
                <w:i w:val="0"/>
                <w:iCs w:val="0"/>
                <w:color w:val="auto"/>
                <w:sz w:val="21"/>
                <w:szCs w:val="21"/>
                <w:u w:val="none"/>
              </w:rPr>
            </w:pPr>
          </w:p>
        </w:tc>
      </w:tr>
      <w:tr w14:paraId="5F389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7" w:hRule="atLeast"/>
        </w:trPr>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113F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b w:val="0"/>
                <w:bCs w:val="0"/>
                <w:i w:val="0"/>
                <w:iCs w:val="0"/>
                <w:color w:val="auto"/>
                <w:sz w:val="18"/>
                <w:szCs w:val="18"/>
                <w:u w:val="none"/>
              </w:rPr>
            </w:pPr>
            <w:r>
              <w:rPr>
                <w:rFonts w:hint="default" w:ascii="Times New Roman" w:hAnsi="Times New Roman" w:eastAsia="仿宋_GB2312" w:cs="Times New Roman"/>
                <w:b w:val="0"/>
                <w:bCs w:val="0"/>
                <w:i w:val="0"/>
                <w:iCs w:val="0"/>
                <w:color w:val="auto"/>
                <w:kern w:val="0"/>
                <w:sz w:val="18"/>
                <w:szCs w:val="18"/>
                <w:u w:val="none"/>
                <w:lang w:val="en-US" w:eastAsia="zh-CN" w:bidi="ar"/>
              </w:rPr>
              <w:t>5</w:t>
            </w: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E60D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b w:val="0"/>
                <w:bCs w:val="0"/>
                <w:i w:val="0"/>
                <w:iCs w:val="0"/>
                <w:color w:val="auto"/>
                <w:sz w:val="18"/>
                <w:szCs w:val="18"/>
                <w:u w:val="none"/>
              </w:rPr>
            </w:pPr>
            <w:r>
              <w:rPr>
                <w:rFonts w:hint="default" w:ascii="Times New Roman" w:hAnsi="Times New Roman" w:eastAsia="仿宋_GB2312" w:cs="Times New Roman"/>
                <w:b w:val="0"/>
                <w:bCs w:val="0"/>
                <w:i w:val="0"/>
                <w:iCs w:val="0"/>
                <w:color w:val="auto"/>
                <w:kern w:val="0"/>
                <w:sz w:val="18"/>
                <w:szCs w:val="18"/>
                <w:u w:val="none"/>
                <w:lang w:val="en-US" w:eastAsia="zh-CN" w:bidi="ar"/>
              </w:rPr>
              <w:t>鄂托克前旗农牧业科技支撑项目</w:t>
            </w:r>
          </w:p>
        </w:tc>
        <w:tc>
          <w:tcPr>
            <w:tcW w:w="4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20D1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b w:val="0"/>
                <w:bCs w:val="0"/>
                <w:i w:val="0"/>
                <w:iCs w:val="0"/>
                <w:color w:val="auto"/>
                <w:sz w:val="18"/>
                <w:szCs w:val="18"/>
                <w:u w:val="none"/>
              </w:rPr>
            </w:pPr>
            <w:r>
              <w:rPr>
                <w:rFonts w:hint="default" w:ascii="Times New Roman" w:hAnsi="Times New Roman" w:eastAsia="仿宋_GB2312" w:cs="Times New Roman"/>
                <w:b w:val="0"/>
                <w:bCs w:val="0"/>
                <w:i w:val="0"/>
                <w:iCs w:val="0"/>
                <w:color w:val="auto"/>
                <w:kern w:val="0"/>
                <w:sz w:val="18"/>
                <w:szCs w:val="18"/>
                <w:u w:val="none"/>
                <w:lang w:val="en-US" w:eastAsia="zh-CN" w:bidi="ar"/>
              </w:rPr>
              <w:t>围绕羊绒产业、种业振兴、设施农业、农牧业节水、智慧农牧业、土壤改良等方向开展关键技术攻关和成果转化推广，通过科技重大专项、重点研发、科技特派员成果转化推广项目等方式予以支持。</w:t>
            </w:r>
          </w:p>
        </w:tc>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17DD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b w:val="0"/>
                <w:bCs w:val="0"/>
                <w:i w:val="0"/>
                <w:iCs w:val="0"/>
                <w:color w:val="auto"/>
                <w:sz w:val="18"/>
                <w:szCs w:val="18"/>
                <w:u w:val="none"/>
              </w:rPr>
            </w:pPr>
            <w:r>
              <w:rPr>
                <w:rStyle w:val="26"/>
                <w:rFonts w:hint="default" w:ascii="Times New Roman" w:hAnsi="Times New Roman" w:eastAsia="仿宋_GB2312" w:cs="Times New Roman"/>
                <w:b w:val="0"/>
                <w:bCs w:val="0"/>
                <w:color w:val="auto"/>
                <w:sz w:val="18"/>
                <w:szCs w:val="18"/>
                <w:lang w:val="en-US" w:eastAsia="zh-CN" w:bidi="ar"/>
              </w:rPr>
              <w:t>政府投资</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A0D7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b w:val="0"/>
                <w:bCs w:val="0"/>
                <w:i w:val="0"/>
                <w:iCs w:val="0"/>
                <w:color w:val="auto"/>
                <w:sz w:val="18"/>
                <w:szCs w:val="18"/>
                <w:u w:val="none"/>
              </w:rPr>
            </w:pPr>
            <w:r>
              <w:rPr>
                <w:rFonts w:hint="default" w:ascii="Times New Roman" w:hAnsi="Times New Roman" w:eastAsia="仿宋_GB2312" w:cs="Times New Roman"/>
                <w:b w:val="0"/>
                <w:bCs w:val="0"/>
                <w:i w:val="0"/>
                <w:iCs w:val="0"/>
                <w:color w:val="auto"/>
                <w:kern w:val="0"/>
                <w:sz w:val="18"/>
                <w:szCs w:val="18"/>
                <w:u w:val="none"/>
                <w:lang w:val="en-US" w:eastAsia="zh-CN" w:bidi="ar"/>
              </w:rPr>
              <w:t>2000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3024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b w:val="0"/>
                <w:bCs w:val="0"/>
                <w:i w:val="0"/>
                <w:iCs w:val="0"/>
                <w:color w:val="auto"/>
                <w:sz w:val="18"/>
                <w:szCs w:val="18"/>
                <w:u w:val="none"/>
              </w:rPr>
            </w:pPr>
            <w:r>
              <w:rPr>
                <w:rFonts w:hint="default" w:ascii="Times New Roman" w:hAnsi="Times New Roman" w:eastAsia="仿宋_GB2312" w:cs="Times New Roman"/>
                <w:b w:val="0"/>
                <w:bCs w:val="0"/>
                <w:i w:val="0"/>
                <w:iCs w:val="0"/>
                <w:color w:val="auto"/>
                <w:kern w:val="0"/>
                <w:sz w:val="18"/>
                <w:szCs w:val="18"/>
                <w:u w:val="none"/>
                <w:lang w:val="en-US" w:eastAsia="zh-CN" w:bidi="ar"/>
              </w:rPr>
              <w:t>2026-2030</w:t>
            </w:r>
          </w:p>
        </w:tc>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F78DC">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rPr>
                <w:rFonts w:hint="default" w:ascii="Times New Roman" w:hAnsi="Times New Roman" w:eastAsia="仿宋_GB2312" w:cs="Times New Roman"/>
                <w:b w:val="0"/>
                <w:bCs w:val="0"/>
                <w:i w:val="0"/>
                <w:iCs w:val="0"/>
                <w:color w:val="auto"/>
                <w:sz w:val="21"/>
                <w:szCs w:val="21"/>
                <w:u w:val="none"/>
              </w:rPr>
            </w:pPr>
          </w:p>
        </w:tc>
      </w:tr>
      <w:tr w14:paraId="4A8F7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4" w:hRule="atLeast"/>
        </w:trPr>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D08F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b w:val="0"/>
                <w:bCs w:val="0"/>
                <w:i w:val="0"/>
                <w:iCs w:val="0"/>
                <w:color w:val="auto"/>
                <w:kern w:val="2"/>
                <w:sz w:val="18"/>
                <w:szCs w:val="18"/>
                <w:u w:val="none"/>
                <w:lang w:val="en-US" w:eastAsia="zh-CN" w:bidi="ar-SA"/>
              </w:rPr>
            </w:pPr>
            <w:r>
              <w:rPr>
                <w:rFonts w:hint="default" w:ascii="Times New Roman" w:hAnsi="Times New Roman" w:eastAsia="仿宋_GB2312" w:cs="Times New Roman"/>
                <w:b w:val="0"/>
                <w:bCs w:val="0"/>
                <w:i w:val="0"/>
                <w:iCs w:val="0"/>
                <w:color w:val="auto"/>
                <w:kern w:val="0"/>
                <w:sz w:val="18"/>
                <w:szCs w:val="18"/>
                <w:u w:val="none"/>
                <w:lang w:val="en-US" w:eastAsia="zh-CN" w:bidi="ar"/>
              </w:rPr>
              <w:t>6</w:t>
            </w: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1C6B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b w:val="0"/>
                <w:bCs w:val="0"/>
                <w:i w:val="0"/>
                <w:iCs w:val="0"/>
                <w:color w:val="auto"/>
                <w:kern w:val="2"/>
                <w:sz w:val="18"/>
                <w:szCs w:val="18"/>
                <w:u w:val="none"/>
                <w:lang w:val="en-US" w:eastAsia="zh-CN" w:bidi="ar-SA"/>
              </w:rPr>
            </w:pPr>
            <w:r>
              <w:rPr>
                <w:rFonts w:hint="default" w:ascii="Times New Roman" w:hAnsi="Times New Roman" w:eastAsia="仿宋_GB2312" w:cs="Times New Roman"/>
                <w:b w:val="0"/>
                <w:bCs w:val="0"/>
                <w:i w:val="0"/>
                <w:iCs w:val="0"/>
                <w:color w:val="auto"/>
                <w:kern w:val="0"/>
                <w:sz w:val="18"/>
                <w:szCs w:val="18"/>
                <w:u w:val="none"/>
                <w:lang w:val="en-US" w:eastAsia="zh-CN" w:bidi="ar"/>
              </w:rPr>
              <w:t>肉牛规模化养殖场建设项目</w:t>
            </w:r>
          </w:p>
        </w:tc>
        <w:tc>
          <w:tcPr>
            <w:tcW w:w="4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BE15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b w:val="0"/>
                <w:bCs w:val="0"/>
                <w:i w:val="0"/>
                <w:iCs w:val="0"/>
                <w:color w:val="auto"/>
                <w:kern w:val="2"/>
                <w:sz w:val="18"/>
                <w:szCs w:val="18"/>
                <w:u w:val="none"/>
                <w:lang w:val="en-US" w:eastAsia="zh-CN" w:bidi="ar-SA"/>
              </w:rPr>
            </w:pPr>
            <w:r>
              <w:rPr>
                <w:rFonts w:hint="default" w:ascii="Times New Roman" w:hAnsi="Times New Roman" w:eastAsia="仿宋_GB2312" w:cs="Times New Roman"/>
                <w:b w:val="0"/>
                <w:bCs w:val="0"/>
                <w:i w:val="0"/>
                <w:iCs w:val="0"/>
                <w:color w:val="auto"/>
                <w:kern w:val="0"/>
                <w:sz w:val="18"/>
                <w:szCs w:val="18"/>
                <w:u w:val="none"/>
                <w:lang w:val="en-US" w:eastAsia="zh-CN" w:bidi="ar"/>
              </w:rPr>
              <w:t>招引2个以上企业建设养殖2万头安格斯、西门塔尔等优良品种肉牛存栏基础设施等功能分区；建设饲料库、干草棚、青贮窖（池）、兽医室、检疫检验室、消毒通道及值班室、员工宿舍等附属用房。</w:t>
            </w:r>
          </w:p>
        </w:tc>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9185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b w:val="0"/>
                <w:bCs w:val="0"/>
                <w:i w:val="0"/>
                <w:iCs w:val="0"/>
                <w:color w:val="auto"/>
                <w:kern w:val="2"/>
                <w:sz w:val="18"/>
                <w:szCs w:val="18"/>
                <w:u w:val="none"/>
                <w:lang w:val="en-US" w:eastAsia="zh-CN" w:bidi="ar-SA"/>
              </w:rPr>
            </w:pPr>
            <w:r>
              <w:rPr>
                <w:rFonts w:hint="default" w:ascii="Times New Roman" w:hAnsi="Times New Roman" w:eastAsia="仿宋_GB2312" w:cs="Times New Roman"/>
                <w:b w:val="0"/>
                <w:bCs w:val="0"/>
                <w:i w:val="0"/>
                <w:iCs w:val="0"/>
                <w:color w:val="auto"/>
                <w:kern w:val="0"/>
                <w:sz w:val="18"/>
                <w:szCs w:val="18"/>
                <w:u w:val="none"/>
                <w:lang w:val="en-US" w:eastAsia="zh-CN" w:bidi="ar"/>
              </w:rPr>
              <w:t>企业投资</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53F7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b w:val="0"/>
                <w:bCs w:val="0"/>
                <w:i w:val="0"/>
                <w:iCs w:val="0"/>
                <w:color w:val="auto"/>
                <w:kern w:val="2"/>
                <w:sz w:val="18"/>
                <w:szCs w:val="18"/>
                <w:u w:val="none"/>
                <w:lang w:val="en-US" w:eastAsia="zh-CN" w:bidi="ar-SA"/>
              </w:rPr>
            </w:pPr>
            <w:r>
              <w:rPr>
                <w:rFonts w:hint="default" w:ascii="Times New Roman" w:hAnsi="Times New Roman" w:eastAsia="仿宋_GB2312" w:cs="Times New Roman"/>
                <w:b w:val="0"/>
                <w:bCs w:val="0"/>
                <w:i w:val="0"/>
                <w:iCs w:val="0"/>
                <w:color w:val="auto"/>
                <w:kern w:val="0"/>
                <w:sz w:val="18"/>
                <w:szCs w:val="18"/>
                <w:u w:val="none"/>
                <w:lang w:val="en-US" w:eastAsia="zh-CN" w:bidi="ar"/>
              </w:rPr>
              <w:t>40000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85FD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b w:val="0"/>
                <w:bCs w:val="0"/>
                <w:i w:val="0"/>
                <w:iCs w:val="0"/>
                <w:color w:val="auto"/>
                <w:kern w:val="2"/>
                <w:sz w:val="18"/>
                <w:szCs w:val="18"/>
                <w:u w:val="none"/>
                <w:lang w:val="en-US" w:eastAsia="zh-CN" w:bidi="ar-SA"/>
              </w:rPr>
            </w:pPr>
            <w:r>
              <w:rPr>
                <w:rFonts w:hint="default" w:ascii="Times New Roman" w:hAnsi="Times New Roman" w:eastAsia="仿宋_GB2312" w:cs="Times New Roman"/>
                <w:b w:val="0"/>
                <w:bCs w:val="0"/>
                <w:i w:val="0"/>
                <w:iCs w:val="0"/>
                <w:color w:val="auto"/>
                <w:kern w:val="0"/>
                <w:sz w:val="18"/>
                <w:szCs w:val="18"/>
                <w:u w:val="none"/>
                <w:lang w:val="en-US" w:eastAsia="zh-CN" w:bidi="ar"/>
              </w:rPr>
              <w:t>2026-2030</w:t>
            </w:r>
          </w:p>
        </w:tc>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C41E1">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rPr>
                <w:rFonts w:hint="default" w:ascii="Times New Roman" w:hAnsi="Times New Roman" w:eastAsia="仿宋_GB2312" w:cs="Times New Roman"/>
                <w:b w:val="0"/>
                <w:bCs w:val="0"/>
                <w:i w:val="0"/>
                <w:iCs w:val="0"/>
                <w:color w:val="auto"/>
                <w:kern w:val="2"/>
                <w:sz w:val="21"/>
                <w:szCs w:val="21"/>
                <w:u w:val="none"/>
                <w:lang w:val="en-US" w:eastAsia="zh-CN" w:bidi="ar-SA"/>
              </w:rPr>
            </w:pPr>
          </w:p>
        </w:tc>
      </w:tr>
      <w:tr w14:paraId="79AB7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18" w:hRule="atLeast"/>
        </w:trPr>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998D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b w:val="0"/>
                <w:bCs w:val="0"/>
                <w:i w:val="0"/>
                <w:iCs w:val="0"/>
                <w:color w:val="auto"/>
                <w:sz w:val="18"/>
                <w:szCs w:val="18"/>
                <w:u w:val="none"/>
              </w:rPr>
            </w:pPr>
            <w:r>
              <w:rPr>
                <w:rFonts w:hint="default" w:ascii="Times New Roman" w:hAnsi="Times New Roman" w:eastAsia="仿宋_GB2312" w:cs="Times New Roman"/>
                <w:b w:val="0"/>
                <w:bCs w:val="0"/>
                <w:i w:val="0"/>
                <w:iCs w:val="0"/>
                <w:color w:val="auto"/>
                <w:kern w:val="0"/>
                <w:sz w:val="18"/>
                <w:szCs w:val="18"/>
                <w:u w:val="none"/>
                <w:lang w:val="en-US" w:eastAsia="zh-CN" w:bidi="ar"/>
              </w:rPr>
              <w:t>7</w:t>
            </w: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4888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b w:val="0"/>
                <w:bCs w:val="0"/>
                <w:i w:val="0"/>
                <w:iCs w:val="0"/>
                <w:color w:val="auto"/>
                <w:sz w:val="18"/>
                <w:szCs w:val="18"/>
                <w:u w:val="none"/>
              </w:rPr>
            </w:pPr>
            <w:r>
              <w:rPr>
                <w:rFonts w:hint="default" w:ascii="Times New Roman" w:hAnsi="Times New Roman" w:eastAsia="仿宋_GB2312" w:cs="Times New Roman"/>
                <w:b w:val="0"/>
                <w:bCs w:val="0"/>
                <w:i w:val="0"/>
                <w:iCs w:val="0"/>
                <w:color w:val="auto"/>
                <w:kern w:val="0"/>
                <w:sz w:val="18"/>
                <w:szCs w:val="18"/>
                <w:u w:val="none"/>
                <w:lang w:val="en-US" w:eastAsia="zh-CN" w:bidi="ar"/>
              </w:rPr>
              <w:t>高蛋白玉米育种项目</w:t>
            </w:r>
          </w:p>
        </w:tc>
        <w:tc>
          <w:tcPr>
            <w:tcW w:w="4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CF9F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b w:val="0"/>
                <w:bCs w:val="0"/>
                <w:i w:val="0"/>
                <w:iCs w:val="0"/>
                <w:color w:val="auto"/>
                <w:sz w:val="18"/>
                <w:szCs w:val="18"/>
                <w:u w:val="none"/>
              </w:rPr>
            </w:pPr>
            <w:r>
              <w:rPr>
                <w:rFonts w:hint="default" w:ascii="Times New Roman" w:hAnsi="Times New Roman" w:eastAsia="仿宋_GB2312" w:cs="Times New Roman"/>
                <w:b w:val="0"/>
                <w:bCs w:val="0"/>
                <w:i w:val="0"/>
                <w:iCs w:val="0"/>
                <w:color w:val="auto"/>
                <w:kern w:val="0"/>
                <w:sz w:val="18"/>
                <w:szCs w:val="18"/>
                <w:u w:val="none"/>
                <w:lang w:val="en-US" w:eastAsia="zh-CN" w:bidi="ar"/>
              </w:rPr>
              <w:t>建设分子育种实验室、常规育种实验室，配套人工气候室、种质资源库；规划育种试验田、品系鉴定圃、区域试验基地等；建设标准化制种田、种子烘干车间、清选分级车间；打造核心示范田50—200亩，配套灌溉排水设施、田间观察记录点、标识牌，辐射带动周边示范片。最终辐射推广50万亩以上。</w:t>
            </w:r>
          </w:p>
        </w:tc>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DA24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b w:val="0"/>
                <w:bCs w:val="0"/>
                <w:i w:val="0"/>
                <w:iCs w:val="0"/>
                <w:color w:val="auto"/>
                <w:sz w:val="18"/>
                <w:szCs w:val="18"/>
                <w:u w:val="none"/>
              </w:rPr>
            </w:pPr>
            <w:r>
              <w:rPr>
                <w:rFonts w:hint="default" w:ascii="Times New Roman" w:hAnsi="Times New Roman" w:eastAsia="仿宋_GB2312" w:cs="Times New Roman"/>
                <w:b w:val="0"/>
                <w:bCs w:val="0"/>
                <w:i w:val="0"/>
                <w:iCs w:val="0"/>
                <w:color w:val="auto"/>
                <w:kern w:val="0"/>
                <w:sz w:val="18"/>
                <w:szCs w:val="18"/>
                <w:u w:val="none"/>
                <w:lang w:val="en-US" w:eastAsia="zh-CN" w:bidi="ar"/>
              </w:rPr>
              <w:t>企业投资</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E97E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b w:val="0"/>
                <w:bCs w:val="0"/>
                <w:i w:val="0"/>
                <w:iCs w:val="0"/>
                <w:color w:val="auto"/>
                <w:sz w:val="18"/>
                <w:szCs w:val="18"/>
                <w:u w:val="none"/>
              </w:rPr>
            </w:pPr>
            <w:r>
              <w:rPr>
                <w:rFonts w:hint="default" w:ascii="Times New Roman" w:hAnsi="Times New Roman" w:eastAsia="仿宋_GB2312" w:cs="Times New Roman"/>
                <w:b w:val="0"/>
                <w:bCs w:val="0"/>
                <w:i w:val="0"/>
                <w:iCs w:val="0"/>
                <w:color w:val="auto"/>
                <w:kern w:val="0"/>
                <w:sz w:val="18"/>
                <w:szCs w:val="18"/>
                <w:u w:val="none"/>
                <w:lang w:val="en-US" w:eastAsia="zh-CN" w:bidi="ar"/>
              </w:rPr>
              <w:t>5000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EBF4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b w:val="0"/>
                <w:bCs w:val="0"/>
                <w:i w:val="0"/>
                <w:iCs w:val="0"/>
                <w:color w:val="auto"/>
                <w:sz w:val="18"/>
                <w:szCs w:val="18"/>
                <w:u w:val="none"/>
              </w:rPr>
            </w:pPr>
            <w:r>
              <w:rPr>
                <w:rFonts w:hint="default" w:ascii="Times New Roman" w:hAnsi="Times New Roman" w:eastAsia="仿宋_GB2312" w:cs="Times New Roman"/>
                <w:b w:val="0"/>
                <w:bCs w:val="0"/>
                <w:i w:val="0"/>
                <w:iCs w:val="0"/>
                <w:color w:val="auto"/>
                <w:kern w:val="0"/>
                <w:sz w:val="18"/>
                <w:szCs w:val="18"/>
                <w:u w:val="none"/>
                <w:lang w:val="en-US" w:eastAsia="zh-CN" w:bidi="ar"/>
              </w:rPr>
              <w:t>2026-2030</w:t>
            </w:r>
          </w:p>
        </w:tc>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85B62">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rPr>
                <w:rFonts w:hint="default" w:ascii="Times New Roman" w:hAnsi="Times New Roman" w:eastAsia="仿宋_GB2312" w:cs="Times New Roman"/>
                <w:b w:val="0"/>
                <w:bCs w:val="0"/>
                <w:i w:val="0"/>
                <w:iCs w:val="0"/>
                <w:color w:val="auto"/>
                <w:sz w:val="21"/>
                <w:szCs w:val="21"/>
                <w:u w:val="none"/>
              </w:rPr>
            </w:pPr>
          </w:p>
        </w:tc>
      </w:tr>
      <w:tr w14:paraId="5DE33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4" w:hRule="atLeast"/>
        </w:trPr>
        <w:tc>
          <w:tcPr>
            <w:tcW w:w="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16B7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b w:val="0"/>
                <w:bCs w:val="0"/>
                <w:i w:val="0"/>
                <w:iCs w:val="0"/>
                <w:color w:val="auto"/>
                <w:kern w:val="0"/>
                <w:sz w:val="18"/>
                <w:szCs w:val="18"/>
                <w:u w:val="none"/>
                <w:lang w:val="en-US" w:eastAsia="zh-CN" w:bidi="ar"/>
              </w:rPr>
            </w:pPr>
            <w:r>
              <w:rPr>
                <w:rFonts w:hint="default" w:ascii="Times New Roman" w:hAnsi="Times New Roman" w:eastAsia="仿宋_GB2312" w:cs="Times New Roman"/>
                <w:b w:val="0"/>
                <w:bCs w:val="0"/>
                <w:i w:val="0"/>
                <w:iCs w:val="0"/>
                <w:color w:val="auto"/>
                <w:kern w:val="0"/>
                <w:sz w:val="18"/>
                <w:szCs w:val="18"/>
                <w:u w:val="none"/>
                <w:lang w:val="en-US" w:eastAsia="zh-CN" w:bidi="ar"/>
              </w:rPr>
              <w:t>8</w:t>
            </w: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9756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b w:val="0"/>
                <w:bCs w:val="0"/>
                <w:i w:val="0"/>
                <w:iCs w:val="0"/>
                <w:color w:val="auto"/>
                <w:kern w:val="0"/>
                <w:sz w:val="18"/>
                <w:szCs w:val="18"/>
                <w:u w:val="none"/>
                <w:lang w:val="en-US" w:eastAsia="zh-CN" w:bidi="ar"/>
              </w:rPr>
            </w:pPr>
            <w:r>
              <w:rPr>
                <w:rFonts w:hint="default" w:ascii="Times New Roman" w:hAnsi="Times New Roman" w:eastAsia="仿宋_GB2312" w:cs="Times New Roman"/>
                <w:b w:val="0"/>
                <w:bCs w:val="0"/>
                <w:i w:val="0"/>
                <w:iCs w:val="0"/>
                <w:color w:val="auto"/>
                <w:kern w:val="0"/>
                <w:sz w:val="18"/>
                <w:szCs w:val="18"/>
                <w:u w:val="none"/>
                <w:lang w:val="en-US" w:eastAsia="zh-CN" w:bidi="ar"/>
              </w:rPr>
              <w:t>鄂托克前旗草原畜牧业转型升级项目</w:t>
            </w:r>
          </w:p>
        </w:tc>
        <w:tc>
          <w:tcPr>
            <w:tcW w:w="4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6408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b w:val="0"/>
                <w:bCs w:val="0"/>
                <w:i w:val="0"/>
                <w:iCs w:val="0"/>
                <w:color w:val="auto"/>
                <w:kern w:val="0"/>
                <w:sz w:val="18"/>
                <w:szCs w:val="18"/>
                <w:u w:val="none"/>
                <w:lang w:val="en-US" w:eastAsia="zh-CN" w:bidi="ar"/>
              </w:rPr>
            </w:pPr>
            <w:r>
              <w:rPr>
                <w:rFonts w:hint="default" w:ascii="Times New Roman" w:hAnsi="Times New Roman" w:eastAsia="仿宋_GB2312" w:cs="Times New Roman"/>
                <w:b w:val="0"/>
                <w:bCs w:val="0"/>
                <w:i w:val="0"/>
                <w:iCs w:val="0"/>
                <w:color w:val="auto"/>
                <w:kern w:val="0"/>
                <w:sz w:val="18"/>
                <w:szCs w:val="18"/>
                <w:u w:val="none"/>
                <w:lang w:val="en-US" w:eastAsia="zh-CN" w:bidi="ar"/>
              </w:rPr>
              <w:t>建设羊棚</w:t>
            </w:r>
            <w:r>
              <w:rPr>
                <w:rFonts w:hint="default" w:ascii="Times New Roman" w:hAnsi="Times New Roman" w:eastAsia="仿宋_GB2312" w:cs="Times New Roman"/>
                <w:b w:val="0"/>
                <w:bCs w:val="0"/>
                <w:i w:val="0"/>
                <w:iCs w:val="0"/>
                <w:color w:val="auto"/>
                <w:kern w:val="0"/>
                <w:sz w:val="18"/>
                <w:szCs w:val="18"/>
                <w:u w:val="none"/>
                <w:lang w:val="en-US" w:eastAsia="zh-CN" w:bidi="ar"/>
              </w:rPr>
              <w:t>1000</w:t>
            </w:r>
            <w:r>
              <w:rPr>
                <w:rFonts w:hint="default" w:ascii="Times New Roman" w:hAnsi="Times New Roman" w:eastAsia="仿宋_GB2312" w:cs="Times New Roman"/>
                <w:b w:val="0"/>
                <w:bCs w:val="0"/>
                <w:i w:val="0"/>
                <w:iCs w:val="0"/>
                <w:color w:val="auto"/>
                <w:kern w:val="0"/>
                <w:sz w:val="18"/>
                <w:szCs w:val="18"/>
                <w:u w:val="none"/>
                <w:lang w:val="en-US" w:eastAsia="zh-CN" w:bidi="ar"/>
              </w:rPr>
              <w:t>座、贮草棚</w:t>
            </w:r>
            <w:r>
              <w:rPr>
                <w:rFonts w:hint="default" w:ascii="Times New Roman" w:hAnsi="Times New Roman" w:eastAsia="仿宋_GB2312" w:cs="Times New Roman"/>
                <w:b w:val="0"/>
                <w:bCs w:val="0"/>
                <w:i w:val="0"/>
                <w:iCs w:val="0"/>
                <w:color w:val="auto"/>
                <w:kern w:val="0"/>
                <w:sz w:val="18"/>
                <w:szCs w:val="18"/>
                <w:u w:val="none"/>
                <w:lang w:val="en-US" w:eastAsia="zh-CN" w:bidi="ar"/>
              </w:rPr>
              <w:t>1000</w:t>
            </w:r>
            <w:r>
              <w:rPr>
                <w:rFonts w:hint="default" w:ascii="Times New Roman" w:hAnsi="Times New Roman" w:eastAsia="仿宋_GB2312" w:cs="Times New Roman"/>
                <w:b w:val="0"/>
                <w:bCs w:val="0"/>
                <w:i w:val="0"/>
                <w:iCs w:val="0"/>
                <w:color w:val="auto"/>
                <w:kern w:val="0"/>
                <w:sz w:val="18"/>
                <w:szCs w:val="18"/>
                <w:u w:val="none"/>
                <w:lang w:val="en-US" w:eastAsia="zh-CN" w:bidi="ar"/>
              </w:rPr>
              <w:t>座、牛棚</w:t>
            </w:r>
            <w:r>
              <w:rPr>
                <w:rFonts w:hint="default" w:ascii="Times New Roman" w:hAnsi="Times New Roman" w:eastAsia="仿宋_GB2312" w:cs="Times New Roman"/>
                <w:b w:val="0"/>
                <w:bCs w:val="0"/>
                <w:i w:val="0"/>
                <w:iCs w:val="0"/>
                <w:color w:val="auto"/>
                <w:kern w:val="0"/>
                <w:sz w:val="18"/>
                <w:szCs w:val="18"/>
                <w:u w:val="none"/>
                <w:lang w:val="en-US" w:eastAsia="zh-CN" w:bidi="ar"/>
              </w:rPr>
              <w:t>220</w:t>
            </w:r>
            <w:r>
              <w:rPr>
                <w:rFonts w:hint="default" w:ascii="Times New Roman" w:hAnsi="Times New Roman" w:eastAsia="仿宋_GB2312" w:cs="Times New Roman"/>
                <w:b w:val="0"/>
                <w:bCs w:val="0"/>
                <w:i w:val="0"/>
                <w:iCs w:val="0"/>
                <w:color w:val="auto"/>
                <w:kern w:val="0"/>
                <w:sz w:val="18"/>
                <w:szCs w:val="18"/>
                <w:u w:val="none"/>
                <w:lang w:val="en-US" w:eastAsia="zh-CN" w:bidi="ar"/>
              </w:rPr>
              <w:t>座、自动饲喂及加工机械</w:t>
            </w:r>
            <w:r>
              <w:rPr>
                <w:rFonts w:hint="default" w:ascii="Times New Roman" w:hAnsi="Times New Roman" w:eastAsia="仿宋_GB2312" w:cs="Times New Roman"/>
                <w:b w:val="0"/>
                <w:bCs w:val="0"/>
                <w:i w:val="0"/>
                <w:iCs w:val="0"/>
                <w:color w:val="auto"/>
                <w:kern w:val="0"/>
                <w:sz w:val="18"/>
                <w:szCs w:val="18"/>
                <w:u w:val="none"/>
                <w:lang w:val="en-US" w:eastAsia="zh-CN" w:bidi="ar"/>
              </w:rPr>
              <w:t>400</w:t>
            </w:r>
            <w:r>
              <w:rPr>
                <w:rFonts w:hint="default" w:ascii="Times New Roman" w:hAnsi="Times New Roman" w:eastAsia="仿宋_GB2312" w:cs="Times New Roman"/>
                <w:b w:val="0"/>
                <w:bCs w:val="0"/>
                <w:i w:val="0"/>
                <w:iCs w:val="0"/>
                <w:color w:val="auto"/>
                <w:kern w:val="0"/>
                <w:sz w:val="18"/>
                <w:szCs w:val="18"/>
                <w:u w:val="none"/>
                <w:lang w:val="en-US" w:eastAsia="zh-CN" w:bidi="ar"/>
              </w:rPr>
              <w:t>台（套），标准化规模养殖场</w:t>
            </w:r>
            <w:r>
              <w:rPr>
                <w:rFonts w:hint="default" w:ascii="Times New Roman" w:hAnsi="Times New Roman" w:eastAsia="仿宋_GB2312" w:cs="Times New Roman"/>
                <w:b w:val="0"/>
                <w:bCs w:val="0"/>
                <w:i w:val="0"/>
                <w:iCs w:val="0"/>
                <w:color w:val="auto"/>
                <w:kern w:val="0"/>
                <w:sz w:val="18"/>
                <w:szCs w:val="18"/>
                <w:u w:val="none"/>
                <w:lang w:val="en-US" w:eastAsia="zh-CN" w:bidi="ar"/>
              </w:rPr>
              <w:t>5</w:t>
            </w:r>
            <w:r>
              <w:rPr>
                <w:rFonts w:hint="default" w:ascii="Times New Roman" w:hAnsi="Times New Roman" w:eastAsia="仿宋_GB2312" w:cs="Times New Roman"/>
                <w:b w:val="0"/>
                <w:bCs w:val="0"/>
                <w:i w:val="0"/>
                <w:iCs w:val="0"/>
                <w:color w:val="auto"/>
                <w:kern w:val="0"/>
                <w:sz w:val="18"/>
                <w:szCs w:val="18"/>
                <w:u w:val="none"/>
                <w:lang w:val="en-US" w:eastAsia="zh-CN" w:bidi="ar"/>
              </w:rPr>
              <w:t>处；推广种植青贮玉米、燕麦等品种</w:t>
            </w:r>
            <w:r>
              <w:rPr>
                <w:rFonts w:hint="default" w:ascii="Times New Roman" w:hAnsi="Times New Roman" w:eastAsia="仿宋_GB2312" w:cs="Times New Roman"/>
                <w:b w:val="0"/>
                <w:bCs w:val="0"/>
                <w:i w:val="0"/>
                <w:iCs w:val="0"/>
                <w:color w:val="auto"/>
                <w:kern w:val="0"/>
                <w:sz w:val="18"/>
                <w:szCs w:val="18"/>
                <w:u w:val="none"/>
                <w:lang w:val="en-US" w:eastAsia="zh-CN" w:bidi="ar"/>
              </w:rPr>
              <w:t>8</w:t>
            </w:r>
            <w:r>
              <w:rPr>
                <w:rFonts w:hint="default" w:ascii="Times New Roman" w:hAnsi="Times New Roman" w:eastAsia="仿宋_GB2312" w:cs="Times New Roman"/>
                <w:b w:val="0"/>
                <w:bCs w:val="0"/>
                <w:i w:val="0"/>
                <w:iCs w:val="0"/>
                <w:color w:val="auto"/>
                <w:kern w:val="0"/>
                <w:sz w:val="18"/>
                <w:szCs w:val="18"/>
                <w:u w:val="none"/>
                <w:lang w:val="en-US" w:eastAsia="zh-CN" w:bidi="ar"/>
              </w:rPr>
              <w:t>万亩，节水灌溉饲草料基地</w:t>
            </w:r>
            <w:r>
              <w:rPr>
                <w:rFonts w:hint="default" w:ascii="Times New Roman" w:hAnsi="Times New Roman" w:eastAsia="仿宋_GB2312" w:cs="Times New Roman"/>
                <w:b w:val="0"/>
                <w:bCs w:val="0"/>
                <w:i w:val="0"/>
                <w:iCs w:val="0"/>
                <w:color w:val="auto"/>
                <w:kern w:val="0"/>
                <w:sz w:val="18"/>
                <w:szCs w:val="18"/>
                <w:u w:val="none"/>
                <w:lang w:val="en-US" w:eastAsia="zh-CN" w:bidi="ar"/>
              </w:rPr>
              <w:t>12</w:t>
            </w:r>
            <w:r>
              <w:rPr>
                <w:rFonts w:hint="default" w:ascii="Times New Roman" w:hAnsi="Times New Roman" w:eastAsia="仿宋_GB2312" w:cs="Times New Roman"/>
                <w:b w:val="0"/>
                <w:bCs w:val="0"/>
                <w:i w:val="0"/>
                <w:iCs w:val="0"/>
                <w:color w:val="auto"/>
                <w:kern w:val="0"/>
                <w:sz w:val="18"/>
                <w:szCs w:val="18"/>
                <w:u w:val="none"/>
                <w:lang w:val="en-US" w:eastAsia="zh-CN" w:bidi="ar"/>
              </w:rPr>
              <w:t>万亩，天然草原柠条种植</w:t>
            </w:r>
            <w:r>
              <w:rPr>
                <w:rFonts w:hint="default" w:ascii="Times New Roman" w:hAnsi="Times New Roman" w:eastAsia="仿宋_GB2312" w:cs="Times New Roman"/>
                <w:b w:val="0"/>
                <w:bCs w:val="0"/>
                <w:i w:val="0"/>
                <w:iCs w:val="0"/>
                <w:color w:val="auto"/>
                <w:kern w:val="0"/>
                <w:sz w:val="18"/>
                <w:szCs w:val="18"/>
                <w:u w:val="none"/>
                <w:lang w:val="en-US" w:eastAsia="zh-CN" w:bidi="ar"/>
              </w:rPr>
              <w:t>15</w:t>
            </w:r>
            <w:r>
              <w:rPr>
                <w:rFonts w:hint="default" w:ascii="Times New Roman" w:hAnsi="Times New Roman" w:eastAsia="仿宋_GB2312" w:cs="Times New Roman"/>
                <w:b w:val="0"/>
                <w:bCs w:val="0"/>
                <w:i w:val="0"/>
                <w:iCs w:val="0"/>
                <w:color w:val="auto"/>
                <w:kern w:val="0"/>
                <w:sz w:val="18"/>
                <w:szCs w:val="18"/>
                <w:u w:val="none"/>
                <w:lang w:val="en-US" w:eastAsia="zh-CN" w:bidi="ar"/>
              </w:rPr>
              <w:t>万亩；引入肉羊种羊</w:t>
            </w:r>
            <w:r>
              <w:rPr>
                <w:rFonts w:hint="default" w:ascii="Times New Roman" w:hAnsi="Times New Roman" w:eastAsia="仿宋_GB2312" w:cs="Times New Roman"/>
                <w:b w:val="0"/>
                <w:bCs w:val="0"/>
                <w:i w:val="0"/>
                <w:iCs w:val="0"/>
                <w:color w:val="auto"/>
                <w:kern w:val="0"/>
                <w:sz w:val="18"/>
                <w:szCs w:val="18"/>
                <w:u w:val="none"/>
                <w:lang w:val="en-US" w:eastAsia="zh-CN" w:bidi="ar"/>
              </w:rPr>
              <w:t>400</w:t>
            </w:r>
            <w:r>
              <w:rPr>
                <w:rFonts w:hint="default" w:ascii="Times New Roman" w:hAnsi="Times New Roman" w:eastAsia="仿宋_GB2312" w:cs="Times New Roman"/>
                <w:b w:val="0"/>
                <w:bCs w:val="0"/>
                <w:i w:val="0"/>
                <w:iCs w:val="0"/>
                <w:color w:val="auto"/>
                <w:kern w:val="0"/>
                <w:sz w:val="18"/>
                <w:szCs w:val="18"/>
                <w:u w:val="none"/>
                <w:lang w:val="en-US" w:eastAsia="zh-CN" w:bidi="ar"/>
              </w:rPr>
              <w:t>只，培育超细型绒山羊核心群</w:t>
            </w:r>
            <w:r>
              <w:rPr>
                <w:rFonts w:hint="default" w:ascii="Times New Roman" w:hAnsi="Times New Roman" w:eastAsia="仿宋_GB2312" w:cs="Times New Roman"/>
                <w:b w:val="0"/>
                <w:bCs w:val="0"/>
                <w:i w:val="0"/>
                <w:iCs w:val="0"/>
                <w:color w:val="auto"/>
                <w:kern w:val="0"/>
                <w:sz w:val="18"/>
                <w:szCs w:val="18"/>
                <w:u w:val="none"/>
                <w:lang w:val="en-US" w:eastAsia="zh-CN" w:bidi="ar"/>
              </w:rPr>
              <w:t>15</w:t>
            </w:r>
            <w:r>
              <w:rPr>
                <w:rFonts w:hint="default" w:ascii="Times New Roman" w:hAnsi="Times New Roman" w:eastAsia="仿宋_GB2312" w:cs="Times New Roman"/>
                <w:b w:val="0"/>
                <w:bCs w:val="0"/>
                <w:i w:val="0"/>
                <w:iCs w:val="0"/>
                <w:color w:val="auto"/>
                <w:kern w:val="0"/>
                <w:sz w:val="18"/>
                <w:szCs w:val="18"/>
                <w:u w:val="none"/>
                <w:lang w:val="en-US" w:eastAsia="zh-CN" w:bidi="ar"/>
              </w:rPr>
              <w:t>群；建设饲草料加工厂</w:t>
            </w:r>
            <w:r>
              <w:rPr>
                <w:rFonts w:hint="default" w:ascii="Times New Roman" w:hAnsi="Times New Roman" w:eastAsia="仿宋_GB2312" w:cs="Times New Roman"/>
                <w:b w:val="0"/>
                <w:bCs w:val="0"/>
                <w:i w:val="0"/>
                <w:iCs w:val="0"/>
                <w:color w:val="auto"/>
                <w:kern w:val="0"/>
                <w:sz w:val="18"/>
                <w:szCs w:val="18"/>
                <w:u w:val="none"/>
                <w:lang w:val="en-US" w:eastAsia="zh-CN" w:bidi="ar"/>
              </w:rPr>
              <w:t>3</w:t>
            </w:r>
            <w:r>
              <w:rPr>
                <w:rFonts w:hint="default" w:ascii="Times New Roman" w:hAnsi="Times New Roman" w:eastAsia="仿宋_GB2312" w:cs="Times New Roman"/>
                <w:b w:val="0"/>
                <w:bCs w:val="0"/>
                <w:i w:val="0"/>
                <w:iCs w:val="0"/>
                <w:color w:val="auto"/>
                <w:kern w:val="0"/>
                <w:sz w:val="18"/>
                <w:szCs w:val="18"/>
                <w:u w:val="none"/>
                <w:lang w:val="en-US" w:eastAsia="zh-CN" w:bidi="ar"/>
              </w:rPr>
              <w:t>处等。</w:t>
            </w:r>
          </w:p>
        </w:tc>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7278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b w:val="0"/>
                <w:bCs w:val="0"/>
                <w:i w:val="0"/>
                <w:iCs w:val="0"/>
                <w:color w:val="auto"/>
                <w:kern w:val="0"/>
                <w:sz w:val="18"/>
                <w:szCs w:val="18"/>
                <w:u w:val="none"/>
                <w:lang w:val="en-US" w:eastAsia="zh-CN" w:bidi="ar"/>
              </w:rPr>
            </w:pPr>
            <w:r>
              <w:rPr>
                <w:rFonts w:hint="default" w:ascii="Times New Roman" w:hAnsi="Times New Roman" w:eastAsia="仿宋_GB2312" w:cs="Times New Roman"/>
                <w:b w:val="0"/>
                <w:bCs w:val="0"/>
                <w:i w:val="0"/>
                <w:iCs w:val="0"/>
                <w:color w:val="auto"/>
                <w:kern w:val="0"/>
                <w:sz w:val="18"/>
                <w:szCs w:val="18"/>
                <w:u w:val="none"/>
                <w:lang w:val="en-US" w:eastAsia="zh-CN" w:bidi="ar"/>
              </w:rPr>
              <w:t>政府</w:t>
            </w:r>
            <w:r>
              <w:rPr>
                <w:rFonts w:hint="default" w:ascii="Times New Roman" w:hAnsi="Times New Roman" w:eastAsia="仿宋_GB2312" w:cs="Times New Roman"/>
                <w:b w:val="0"/>
                <w:bCs w:val="0"/>
                <w:i w:val="0"/>
                <w:iCs w:val="0"/>
                <w:color w:val="auto"/>
                <w:kern w:val="0"/>
                <w:sz w:val="18"/>
                <w:szCs w:val="18"/>
                <w:u w:val="none"/>
                <w:lang w:val="en-US" w:eastAsia="zh-CN" w:bidi="ar"/>
              </w:rPr>
              <w:t>+</w:t>
            </w:r>
            <w:r>
              <w:rPr>
                <w:rFonts w:hint="default" w:ascii="Times New Roman" w:hAnsi="Times New Roman" w:eastAsia="仿宋_GB2312" w:cs="Times New Roman"/>
                <w:b w:val="0"/>
                <w:bCs w:val="0"/>
                <w:i w:val="0"/>
                <w:iCs w:val="0"/>
                <w:color w:val="auto"/>
                <w:kern w:val="0"/>
                <w:sz w:val="18"/>
                <w:szCs w:val="18"/>
                <w:u w:val="none"/>
                <w:lang w:val="en-US" w:eastAsia="zh-CN" w:bidi="ar"/>
              </w:rPr>
              <w:t>企业投资</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889D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b w:val="0"/>
                <w:bCs w:val="0"/>
                <w:i w:val="0"/>
                <w:iCs w:val="0"/>
                <w:color w:val="auto"/>
                <w:kern w:val="0"/>
                <w:sz w:val="18"/>
                <w:szCs w:val="18"/>
                <w:u w:val="none"/>
                <w:lang w:val="en-US" w:eastAsia="zh-CN" w:bidi="ar"/>
              </w:rPr>
            </w:pPr>
            <w:r>
              <w:rPr>
                <w:rFonts w:hint="default" w:ascii="Times New Roman" w:hAnsi="Times New Roman" w:eastAsia="仿宋_GB2312" w:cs="Times New Roman"/>
                <w:b w:val="0"/>
                <w:bCs w:val="0"/>
                <w:i w:val="0"/>
                <w:iCs w:val="0"/>
                <w:color w:val="auto"/>
                <w:kern w:val="0"/>
                <w:sz w:val="18"/>
                <w:szCs w:val="18"/>
                <w:u w:val="none"/>
                <w:lang w:val="en-US" w:eastAsia="zh-CN" w:bidi="ar"/>
              </w:rPr>
              <w:t>40080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E180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b w:val="0"/>
                <w:bCs w:val="0"/>
                <w:i w:val="0"/>
                <w:iCs w:val="0"/>
                <w:color w:val="auto"/>
                <w:kern w:val="0"/>
                <w:sz w:val="18"/>
                <w:szCs w:val="18"/>
                <w:u w:val="none"/>
                <w:lang w:val="en-US" w:eastAsia="zh-CN" w:bidi="ar"/>
              </w:rPr>
            </w:pPr>
            <w:r>
              <w:rPr>
                <w:rFonts w:hint="default" w:ascii="Times New Roman" w:hAnsi="Times New Roman" w:eastAsia="仿宋_GB2312" w:cs="Times New Roman"/>
                <w:b w:val="0"/>
                <w:bCs w:val="0"/>
                <w:i w:val="0"/>
                <w:iCs w:val="0"/>
                <w:color w:val="auto"/>
                <w:kern w:val="0"/>
                <w:sz w:val="18"/>
                <w:szCs w:val="18"/>
                <w:u w:val="none"/>
                <w:lang w:val="en-US" w:eastAsia="zh-CN" w:bidi="ar"/>
              </w:rPr>
              <w:t>202</w:t>
            </w:r>
            <w:r>
              <w:rPr>
                <w:rFonts w:hint="default" w:ascii="Times New Roman" w:hAnsi="Times New Roman" w:eastAsia="仿宋_GB2312" w:cs="Times New Roman"/>
                <w:b w:val="0"/>
                <w:bCs w:val="0"/>
                <w:i w:val="0"/>
                <w:iCs w:val="0"/>
                <w:color w:val="auto"/>
                <w:kern w:val="0"/>
                <w:sz w:val="18"/>
                <w:szCs w:val="18"/>
                <w:u w:val="none"/>
                <w:lang w:val="en-US" w:eastAsia="zh-CN" w:bidi="ar"/>
              </w:rPr>
              <w:t>6</w:t>
            </w:r>
            <w:r>
              <w:rPr>
                <w:rFonts w:hint="default" w:ascii="Times New Roman" w:hAnsi="Times New Roman" w:eastAsia="仿宋_GB2312" w:cs="Times New Roman"/>
                <w:b w:val="0"/>
                <w:bCs w:val="0"/>
                <w:i w:val="0"/>
                <w:iCs w:val="0"/>
                <w:color w:val="auto"/>
                <w:kern w:val="0"/>
                <w:sz w:val="18"/>
                <w:szCs w:val="18"/>
                <w:u w:val="none"/>
                <w:lang w:val="en-US" w:eastAsia="zh-CN" w:bidi="ar"/>
              </w:rPr>
              <w:t>-2030</w:t>
            </w:r>
          </w:p>
        </w:tc>
        <w:tc>
          <w:tcPr>
            <w:tcW w:w="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87950">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1"/>
                <w:szCs w:val="21"/>
                <w:u w:val="none"/>
                <w:lang w:val="en-US" w:eastAsia="zh-CN" w:bidi="ar-SA"/>
              </w:rPr>
            </w:pPr>
          </w:p>
        </w:tc>
      </w:tr>
    </w:tbl>
    <w:p w14:paraId="714BDF7D">
      <w:pPr>
        <w:rPr>
          <w:rFonts w:hint="default" w:ascii="Times New Roman" w:hAnsi="Times New Roman" w:eastAsia="方正小标宋简体" w:cs="Times New Roman"/>
          <w:color w:val="auto"/>
          <w:kern w:val="2"/>
          <w:sz w:val="44"/>
          <w:szCs w:val="36"/>
          <w:highlight w:val="none"/>
          <w:lang w:val="en-US" w:eastAsia="zh-CN" w:bidi="ar-SA"/>
        </w:rPr>
      </w:pPr>
      <w:r>
        <w:rPr>
          <w:rFonts w:hint="default" w:ascii="Times New Roman" w:hAnsi="Times New Roman" w:eastAsia="方正小标宋简体" w:cs="Times New Roman"/>
          <w:color w:val="auto"/>
          <w:kern w:val="2"/>
          <w:sz w:val="44"/>
          <w:szCs w:val="36"/>
          <w:highlight w:val="none"/>
          <w:lang w:val="en-US" w:eastAsia="zh-CN" w:bidi="ar-SA"/>
        </w:rPr>
        <w:br w:type="page"/>
      </w:r>
    </w:p>
    <w:p w14:paraId="7925427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kern w:val="2"/>
          <w:sz w:val="44"/>
          <w:szCs w:val="36"/>
          <w:highlight w:val="none"/>
          <w:lang w:val="en-US" w:eastAsia="zh-CN" w:bidi="ar-SA"/>
        </w:rPr>
      </w:pPr>
      <w:r>
        <w:rPr>
          <w:rFonts w:hint="default" w:ascii="Times New Roman" w:hAnsi="Times New Roman" w:eastAsia="方正小标宋简体" w:cs="Times New Roman"/>
          <w:color w:val="auto"/>
          <w:kern w:val="2"/>
          <w:sz w:val="44"/>
          <w:szCs w:val="36"/>
          <w:highlight w:val="none"/>
          <w:lang w:val="en-US" w:eastAsia="zh-CN" w:bidi="ar-SA"/>
        </w:rPr>
        <w:t>鄂托克前旗农牧业产业化发展行动方案</w:t>
      </w:r>
    </w:p>
    <w:p w14:paraId="28B8306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kern w:val="2"/>
          <w:sz w:val="44"/>
          <w:szCs w:val="36"/>
          <w:highlight w:val="none"/>
          <w:lang w:val="en-US" w:eastAsia="zh-CN" w:bidi="ar-SA"/>
        </w:rPr>
      </w:pPr>
      <w:r>
        <w:rPr>
          <w:rFonts w:hint="default" w:ascii="Times New Roman" w:hAnsi="Times New Roman" w:eastAsia="方正小标宋简体" w:cs="Times New Roman"/>
          <w:color w:val="auto"/>
          <w:kern w:val="2"/>
          <w:sz w:val="36"/>
          <w:szCs w:val="28"/>
          <w:highlight w:val="none"/>
          <w:lang w:val="en-US" w:eastAsia="zh-CN" w:bidi="ar-SA"/>
        </w:rPr>
        <w:t>（</w:t>
      </w:r>
      <w:r>
        <w:rPr>
          <w:rFonts w:hint="default" w:ascii="Times New Roman" w:hAnsi="Times New Roman" w:eastAsia="方正小标宋简体" w:cs="Times New Roman"/>
          <w:color w:val="auto"/>
          <w:kern w:val="2"/>
          <w:sz w:val="44"/>
          <w:szCs w:val="36"/>
          <w:highlight w:val="none"/>
          <w:lang w:val="en-US" w:eastAsia="zh-CN" w:bidi="ar-SA"/>
        </w:rPr>
        <w:t>2025—2030年</w:t>
      </w:r>
      <w:r>
        <w:rPr>
          <w:rFonts w:hint="default" w:ascii="Times New Roman" w:hAnsi="Times New Roman" w:eastAsia="方正小标宋简体" w:cs="Times New Roman"/>
          <w:color w:val="auto"/>
          <w:kern w:val="2"/>
          <w:sz w:val="36"/>
          <w:szCs w:val="28"/>
          <w:highlight w:val="none"/>
          <w:lang w:val="en-US" w:eastAsia="zh-CN" w:bidi="ar-SA"/>
        </w:rPr>
        <w:t>）</w:t>
      </w:r>
      <w:r>
        <w:rPr>
          <w:rFonts w:hint="default" w:ascii="Times New Roman" w:hAnsi="Times New Roman" w:eastAsia="方正小标宋简体" w:cs="Times New Roman"/>
          <w:sz w:val="44"/>
          <w:szCs w:val="44"/>
          <w:lang w:val="en-US" w:eastAsia="zh-CN"/>
        </w:rPr>
        <w:t>（征求意见稿）</w:t>
      </w:r>
    </w:p>
    <w:p w14:paraId="45DDD84C">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default" w:ascii="Times New Roman" w:hAnsi="Times New Roman" w:eastAsia="仿宋_GB2312" w:cs="Times New Roman"/>
          <w:color w:val="auto"/>
          <w:sz w:val="32"/>
          <w:lang w:eastAsia="zh-CN"/>
        </w:rPr>
      </w:pPr>
    </w:p>
    <w:p w14:paraId="0FEAD33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为深入贯彻落实习近平总书记关于“三农”工作重要论述和对内蒙古的重要讲话指示批示精神，锚定“产业兴农、质量兴农”目标，结合旗内草原畜牧业、特色种植业基础与乡村振兴需求，完善“企业+合作社+农户”利益联结机制，推动农牧业产业化水平提档升级，构建产加销贯通、农文旅融合的现代农牧业体系，促进农牧民增收、产业增效，特制定本方案。</w:t>
      </w:r>
    </w:p>
    <w:p w14:paraId="188BA9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一、总体要求</w:t>
      </w:r>
    </w:p>
    <w:p w14:paraId="08FF2F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kern w:val="0"/>
          <w:sz w:val="32"/>
          <w:szCs w:val="32"/>
          <w:lang w:val="en-US" w:eastAsia="zh-CN" w:bidi="ar"/>
        </w:rPr>
      </w:pPr>
      <w:r>
        <w:rPr>
          <w:rFonts w:hint="default" w:ascii="Times New Roman" w:hAnsi="Times New Roman" w:eastAsia="仿宋_GB2312" w:cs="Times New Roman"/>
          <w:color w:val="auto"/>
          <w:kern w:val="0"/>
          <w:sz w:val="32"/>
          <w:szCs w:val="32"/>
          <w:lang w:val="en-US" w:eastAsia="zh-CN"/>
        </w:rPr>
        <w:t>将农牧业产业化作为乡村振兴样板区提档升级重要抓手，立足资源禀赋，发展特色产业，按照农牧业“457”发展规划，以工业化思维、园区化模式推进农牧产业现代化，加大政策扶持与要素保障，加快建设4个产业强镇、5个产业集群、7个产业园区，衔接生产、加工、流通、销售环节，构建“龙头带小微”加工体系与紧密型利益联结机制，促进农畜产品加工业提质增效，让产业化成为农牧民增收主渠道。</w:t>
      </w:r>
      <w:r>
        <w:rPr>
          <w:rFonts w:hint="default" w:ascii="Times New Roman" w:hAnsi="Times New Roman" w:eastAsia="仿宋_GB2312" w:cs="Times New Roman"/>
          <w:b/>
          <w:bCs/>
          <w:color w:val="auto"/>
          <w:kern w:val="0"/>
          <w:sz w:val="32"/>
          <w:szCs w:val="32"/>
          <w:lang w:val="en-US" w:eastAsia="zh-CN"/>
        </w:rPr>
        <w:t>2025年，</w:t>
      </w:r>
      <w:r>
        <w:rPr>
          <w:rFonts w:hint="default" w:ascii="Times New Roman" w:hAnsi="Times New Roman" w:eastAsia="仿宋_GB2312" w:cs="Times New Roman"/>
          <w:color w:val="auto"/>
          <w:kern w:val="0"/>
          <w:sz w:val="32"/>
          <w:szCs w:val="32"/>
          <w:lang w:val="en-US" w:eastAsia="zh-CN"/>
        </w:rPr>
        <w:t>农企利益联结比例达70%、农畜产品加工转化率达76%以上</w:t>
      </w:r>
      <w:r>
        <w:rPr>
          <w:rFonts w:hint="default" w:ascii="Times New Roman" w:hAnsi="Times New Roman" w:eastAsia="仿宋_GB2312" w:cs="Times New Roman"/>
          <w:b/>
          <w:bCs/>
          <w:color w:val="auto"/>
          <w:kern w:val="0"/>
          <w:sz w:val="32"/>
          <w:szCs w:val="32"/>
          <w:lang w:val="en-US" w:eastAsia="zh-CN"/>
        </w:rPr>
        <w:t>。到2030年，</w:t>
      </w:r>
      <w:r>
        <w:rPr>
          <w:rFonts w:hint="default" w:ascii="Times New Roman" w:hAnsi="Times New Roman" w:eastAsia="仿宋_GB2312" w:cs="Times New Roman"/>
          <w:b w:val="0"/>
          <w:bCs w:val="0"/>
          <w:color w:val="auto"/>
          <w:kern w:val="0"/>
          <w:sz w:val="32"/>
          <w:szCs w:val="32"/>
          <w:lang w:val="en-US" w:eastAsia="zh-CN" w:bidi="ar"/>
        </w:rPr>
        <w:t>农牧业产业链精深加工能力突破15万吨，农畜产品加工转化率达78%，</w:t>
      </w:r>
      <w:r>
        <w:rPr>
          <w:rFonts w:hint="default" w:ascii="Times New Roman" w:hAnsi="Times New Roman" w:eastAsia="仿宋_GB2312" w:cs="Times New Roman"/>
          <w:color w:val="auto"/>
          <w:kern w:val="0"/>
          <w:sz w:val="32"/>
          <w:szCs w:val="32"/>
          <w:lang w:val="en-US" w:eastAsia="zh-CN"/>
        </w:rPr>
        <w:t>实现“卖原料”向“卖商品”转变，逐步构建农牧业全产业链。</w:t>
      </w:r>
    </w:p>
    <w:p w14:paraId="5EDFB1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二、重点任务</w:t>
      </w:r>
    </w:p>
    <w:p w14:paraId="146F6D3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楷体_GB2312" w:cs="Times New Roman"/>
          <w:color w:val="auto"/>
          <w:sz w:val="32"/>
          <w:lang w:eastAsia="zh-CN"/>
        </w:rPr>
        <w:t>（</w:t>
      </w:r>
      <w:r>
        <w:rPr>
          <w:rFonts w:hint="default" w:ascii="Times New Roman" w:hAnsi="Times New Roman" w:eastAsia="楷体_GB2312" w:cs="Times New Roman"/>
          <w:color w:val="auto"/>
          <w:sz w:val="32"/>
          <w:lang w:val="en-US" w:eastAsia="zh-CN"/>
        </w:rPr>
        <w:t>一</w:t>
      </w:r>
      <w:r>
        <w:rPr>
          <w:rFonts w:hint="default" w:ascii="Times New Roman" w:hAnsi="Times New Roman" w:eastAsia="楷体_GB2312" w:cs="Times New Roman"/>
          <w:color w:val="auto"/>
          <w:sz w:val="32"/>
          <w:lang w:eastAsia="zh-CN"/>
        </w:rPr>
        <w:t>）</w:t>
      </w:r>
      <w:r>
        <w:rPr>
          <w:rFonts w:hint="default" w:ascii="Times New Roman" w:hAnsi="Times New Roman" w:eastAsia="楷体_GB2312" w:cs="Times New Roman"/>
          <w:color w:val="auto"/>
          <w:kern w:val="0"/>
          <w:sz w:val="32"/>
          <w:szCs w:val="32"/>
          <w:lang w:val="en-US" w:eastAsia="zh-CN"/>
        </w:rPr>
        <w:t>做精羊绒产业。</w:t>
      </w:r>
      <w:r>
        <w:rPr>
          <w:rFonts w:hint="default" w:ascii="Times New Roman" w:hAnsi="Times New Roman" w:eastAsia="仿宋_GB2312" w:cs="Times New Roman"/>
          <w:color w:val="auto"/>
          <w:kern w:val="0"/>
          <w:sz w:val="32"/>
          <w:szCs w:val="32"/>
          <w:lang w:val="en-US" w:eastAsia="zh-CN"/>
        </w:rPr>
        <w:t>聚焦鄂尔多斯世界级羊绒产业建设，以多维度提升硬实力为目标，打造以上海庙镇为核心的全旗绒山羊产业园，构建“种业—规模养殖—羊绒收储—精深加工”的产业集群。深耕原绒产业，发挥“西部荒漠草原阿尔巴斯超细绒型绒山羊种业创新创业基地”和院士工作站的科技引领作用，通过“科技+市场”的运作方式，让10万亩育种扩繁基地成为种业振兴之地。围绕羊绒细度、长度，强化品种选育改良，培育优质高产品种，每年新增100户优质养殖示范户。建立鄂托克前旗优质羊绒收储中心，引进国内外经销商，面向国际市场收储本地及周边优质羊绒，供应国际头部企业，提升外资利用率。加快劲牛梳绒厂、纺纱厂等建设，优化无毛绒、纺织染色环节，发展纺纱产业。鼓励本土企业与头部深加工企业合作，打造“绒到服装”全链条产业。</w:t>
      </w:r>
    </w:p>
    <w:p w14:paraId="6257DF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color w:val="auto"/>
          <w:lang w:val="en-US" w:eastAsia="zh-CN"/>
        </w:rPr>
      </w:pPr>
      <w:r>
        <w:rPr>
          <w:rFonts w:hint="default" w:ascii="Times New Roman" w:hAnsi="Times New Roman" w:eastAsia="楷体_GB2312" w:cs="Times New Roman"/>
          <w:color w:val="auto"/>
          <w:sz w:val="32"/>
          <w:lang w:val="en-US" w:eastAsia="zh-CN"/>
        </w:rPr>
        <w:t>（二）做强肉类产业。</w:t>
      </w:r>
      <w:r>
        <w:rPr>
          <w:rFonts w:hint="default" w:ascii="Times New Roman" w:hAnsi="Times New Roman" w:eastAsia="仿宋_GB2312" w:cs="Times New Roman"/>
          <w:b/>
          <w:bCs/>
          <w:color w:val="auto"/>
          <w:sz w:val="32"/>
          <w:lang w:val="en-US" w:eastAsia="zh-CN"/>
        </w:rPr>
        <w:t>羊肉产业方面，</w:t>
      </w:r>
      <w:r>
        <w:rPr>
          <w:rFonts w:hint="default" w:ascii="Times New Roman" w:hAnsi="Times New Roman" w:eastAsia="仿宋_GB2312" w:cs="Times New Roman"/>
          <w:color w:val="auto"/>
          <w:sz w:val="32"/>
          <w:lang w:val="en-US" w:eastAsia="zh-CN"/>
        </w:rPr>
        <w:t>一体推进山羊、绵羊发展，培优阿尔巴斯绒山羊品种，培育鄂托克前旗肉羊新品种。按品种细化消费群体与市场，分类设计产品、精准定位，提升羊肉知名度与市场占有率。聚焦建设肉羊产业集群，推行“一分六统”“户繁企育”模式，推动昂素肉羊养殖园区高效运营，加快昂素镇国家级肉羊产业强镇建设，每年打造100户品种统一、设施完善的肉羊养殖示范户。新建鄂托克前旗肉羊产业园，助力肉羊产业强旗建设。</w:t>
      </w:r>
      <w:r>
        <w:rPr>
          <w:rFonts w:hint="default" w:ascii="Times New Roman" w:hAnsi="Times New Roman" w:eastAsia="仿宋_GB2312" w:cs="Times New Roman"/>
          <w:b/>
          <w:bCs/>
          <w:color w:val="auto"/>
          <w:sz w:val="32"/>
          <w:lang w:val="en-US" w:eastAsia="zh-CN"/>
        </w:rPr>
        <w:t>肉牛产业方面，</w:t>
      </w:r>
      <w:r>
        <w:rPr>
          <w:rFonts w:hint="default" w:ascii="Times New Roman" w:hAnsi="Times New Roman" w:eastAsia="仿宋_GB2312" w:cs="Times New Roman"/>
          <w:color w:val="auto"/>
          <w:sz w:val="32"/>
          <w:lang w:val="en-US" w:eastAsia="zh-CN"/>
        </w:rPr>
        <w:t>聚焦肉牛集群建设，发挥龙头企业带动作用，采用“企业引种+农牧民扩繁+企业回收育肥”模式，支持城川镇肉牛产业强镇再提升，重点发展高端肉牛、示范牧场及规模化经营，推动肉牛扩群增量，每年打造50户肉牛联农带农养殖示范户。</w:t>
      </w:r>
      <w:r>
        <w:rPr>
          <w:rFonts w:hint="default" w:ascii="Times New Roman" w:hAnsi="Times New Roman" w:eastAsia="仿宋_GB2312" w:cs="Times New Roman"/>
          <w:b/>
          <w:bCs/>
          <w:color w:val="auto"/>
          <w:sz w:val="32"/>
          <w:lang w:val="en-US" w:eastAsia="zh-CN"/>
        </w:rPr>
        <w:t>肉类加工方面，</w:t>
      </w:r>
      <w:r>
        <w:rPr>
          <w:rFonts w:hint="default" w:ascii="Times New Roman" w:hAnsi="Times New Roman" w:eastAsia="仿宋_GB2312" w:cs="Times New Roman"/>
          <w:color w:val="auto"/>
          <w:sz w:val="32"/>
          <w:lang w:val="en-US" w:eastAsia="zh-CN"/>
        </w:rPr>
        <w:t>依托龙头企业稳定供应优势，</w:t>
      </w:r>
      <w:r>
        <w:rPr>
          <w:rFonts w:hint="default" w:ascii="Times New Roman" w:hAnsi="Times New Roman" w:eastAsia="仿宋_GB2312" w:cs="Times New Roman"/>
          <w:color w:val="auto"/>
          <w:kern w:val="0"/>
          <w:sz w:val="32"/>
          <w:szCs w:val="32"/>
          <w:lang w:val="en-US" w:eastAsia="zh-CN"/>
        </w:rPr>
        <w:t>支持企业生产包装我旗牛肉产品，建立生产标准，开拓销售市场。支持</w:t>
      </w:r>
      <w:r>
        <w:rPr>
          <w:rFonts w:hint="default" w:ascii="Times New Roman" w:hAnsi="Times New Roman" w:eastAsia="仿宋_GB2312" w:cs="Times New Roman"/>
          <w:color w:val="auto"/>
          <w:sz w:val="32"/>
          <w:lang w:val="en-US" w:eastAsia="zh-CN"/>
        </w:rPr>
        <w:t>现有屠宰加工企业提能扩规，提升分割水平和屠宰加工率，生产国际标准产品。新建1家屠宰企业、建设1处屠宰加工厂，</w:t>
      </w:r>
      <w:r>
        <w:rPr>
          <w:rFonts w:hint="default" w:ascii="Times New Roman" w:hAnsi="Times New Roman" w:eastAsia="仿宋_GB2312" w:cs="Times New Roman"/>
          <w:color w:val="auto"/>
          <w:kern w:val="0"/>
          <w:sz w:val="32"/>
          <w:szCs w:val="32"/>
          <w:lang w:val="en-US" w:eastAsia="zh-CN"/>
        </w:rPr>
        <w:t>培育具有竞争力的市场主体。</w:t>
      </w:r>
    </w:p>
    <w:p w14:paraId="3A9054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楷体_GB2312" w:cs="Times New Roman"/>
          <w:color w:val="auto"/>
          <w:sz w:val="32"/>
          <w:lang w:val="en-US" w:eastAsia="zh-CN"/>
        </w:rPr>
        <w:t>（三）做大肉鸭产业。</w:t>
      </w:r>
      <w:r>
        <w:rPr>
          <w:rFonts w:hint="default" w:ascii="Times New Roman" w:hAnsi="Times New Roman" w:eastAsia="仿宋_GB2312" w:cs="Times New Roman"/>
          <w:color w:val="auto"/>
          <w:kern w:val="0"/>
          <w:sz w:val="32"/>
          <w:szCs w:val="32"/>
          <w:lang w:val="en-US" w:eastAsia="zh-CN"/>
        </w:rPr>
        <w:t>聚焦肉鸭特色产业发展，树立链式思维，全面承接安徽强英集团肉鸭产业战略性转移。构建400万羽良种繁育、1000万羽肉鸭商品养殖、60万吨饲料加工、4000万羽屠宰加工、冷链物流配送、专业化服务等全链条肉鸭产业体系，形成“饲料—种禽—养殖—屠宰冷鲜—羽绒加工”完整产业链条，探索走出一条以肉鸭产业为主导的三产融合发展之路，确保5年内肉鸭产业产值突破35亿元。2025年，推进强英种鸭养殖基地项目建设，二道川、特布德嘎查200万羽种鸭养殖项目6月底建成投用，加快强英饲料加工厂项目手续办理，力争年内开工建设。同时，在项目“三通一平”方面给予企业大力支持，确保2028年前全部建成投用。</w:t>
      </w:r>
    </w:p>
    <w:p w14:paraId="1EB55D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kern w:val="0"/>
          <w:sz w:val="32"/>
          <w:szCs w:val="32"/>
          <w:lang w:val="en-US" w:eastAsia="zh-CN" w:bidi="ar-SA"/>
        </w:rPr>
      </w:pPr>
      <w:r>
        <w:rPr>
          <w:rFonts w:hint="default" w:ascii="Times New Roman" w:hAnsi="Times New Roman" w:eastAsia="楷体_GB2312" w:cs="Times New Roman"/>
          <w:color w:val="auto"/>
          <w:sz w:val="32"/>
          <w:lang w:val="en-US" w:eastAsia="zh-CN"/>
        </w:rPr>
        <w:t>（四）做优果蔬产业。</w:t>
      </w:r>
      <w:r>
        <w:rPr>
          <w:rFonts w:hint="default" w:ascii="Times New Roman" w:hAnsi="Times New Roman" w:eastAsia="仿宋_GB2312" w:cs="Times New Roman"/>
          <w:b w:val="0"/>
          <w:bCs/>
          <w:color w:val="auto"/>
          <w:kern w:val="0"/>
          <w:sz w:val="32"/>
          <w:szCs w:val="32"/>
          <w:lang w:val="en-US" w:eastAsia="zh-CN" w:bidi="ar-SA"/>
        </w:rPr>
        <w:t>聚焦果蔬产业集群建设，围绕辣椒、萝卜、香菇等蔬菜种植，坚持适度规模经营，引进培育精深加工企业，转变只卖鲜菜的现状，提高附加值和农民抗风险能力。辣椒产业方面，持续鼓励支持农民种植，支持企业发展精深加工，年内引进1家企业，并建成投产。申报建设城川辣椒产业强镇，推动辣椒产业产值达到5亿元。萝卜产业方面，支持现有企业扩大生产规模，从现有的粗加工向深加工转变，生产萝卜菜，并积极拓展海外市场，争取产值突破5亿元。支持农牧业企业加快香菇产业发展，推进“企业+农户”种植模式，整合旗内香菇产业资产资源资金，形成“种—加—销”一体化经营体系，努力开创节水增收新产业。同时，支持酸菜等深加工企业发展，在规划期内确保5家以上果蔬加工企业落地运营。贮藏保鲜和加工量分别达到总产量的30%和40%。</w:t>
      </w:r>
    </w:p>
    <w:p w14:paraId="2BA9F9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楷体_GB2312" w:cs="Times New Roman"/>
          <w:color w:val="auto"/>
          <w:kern w:val="2"/>
          <w:sz w:val="32"/>
          <w:szCs w:val="24"/>
          <w:lang w:val="en-US" w:eastAsia="zh-CN" w:bidi="ar-SA"/>
        </w:rPr>
        <w:t>（五）做活特色产业</w:t>
      </w:r>
      <w:r>
        <w:rPr>
          <w:rFonts w:hint="default" w:ascii="Times New Roman" w:hAnsi="Times New Roman" w:eastAsia="仿宋_GB2312" w:cs="Times New Roman"/>
          <w:color w:val="auto"/>
          <w:kern w:val="0"/>
          <w:sz w:val="32"/>
          <w:szCs w:val="32"/>
          <w:lang w:val="en-US" w:eastAsia="zh-CN" w:bidi="ar-SA"/>
        </w:rPr>
        <w:t>。鼓励支持乳制品加工主体、产业提档升级，支持小型乳制品生产作坊和加工企业向园区集中，建设奶产业高质量发展整县推进项目和绵羊奶特色产业基地项目，实现规模经营、统一管理。推动原制奶酪、乳清、乳铁蛋白等乳制品精深加工项目建设，提升生鲜乳就近就地消化能力，加强与知名奶业企业合作，延伸奶产品生产链条，加快形成全产业链。</w:t>
      </w:r>
    </w:p>
    <w:p w14:paraId="6379794F">
      <w:pPr>
        <w:pStyle w:val="1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楷体_GB2312" w:cs="Times New Roman"/>
          <w:color w:val="auto"/>
          <w:kern w:val="2"/>
          <w:sz w:val="32"/>
          <w:szCs w:val="24"/>
          <w:lang w:val="en-US" w:eastAsia="zh-CN" w:bidi="ar-SA"/>
        </w:rPr>
        <w:t>（六）发展生态产业。</w:t>
      </w:r>
      <w:r>
        <w:rPr>
          <w:rFonts w:hint="default" w:ascii="Times New Roman" w:hAnsi="Times New Roman" w:eastAsia="仿宋_GB2312" w:cs="Times New Roman"/>
          <w:color w:val="auto"/>
          <w:kern w:val="0"/>
          <w:sz w:val="32"/>
          <w:szCs w:val="32"/>
          <w:lang w:val="en-US" w:eastAsia="zh-CN" w:bidi="ar-SA"/>
        </w:rPr>
        <w:t>聚焦建设生态产业集群，全旗推广昂素镇柠条种植经验，开展“蒿草换柠条”行动，高效运行乌兰呼舒嘎查高标准草业园区，</w:t>
      </w:r>
      <w:r>
        <w:rPr>
          <w:rFonts w:hint="default" w:ascii="Times New Roman" w:hAnsi="Times New Roman" w:eastAsia="仿宋_GB2312" w:cs="Times New Roman"/>
          <w:color w:val="auto"/>
          <w:kern w:val="0"/>
          <w:sz w:val="32"/>
          <w:szCs w:val="32"/>
          <w:lang w:val="en-US" w:eastAsia="zh-CN" w:bidi="ar-SA"/>
        </w:rPr>
        <w:t>探索碳汇</w:t>
      </w:r>
      <w:r>
        <w:rPr>
          <w:rFonts w:hint="default" w:ascii="Times New Roman" w:hAnsi="Times New Roman" w:eastAsia="仿宋_GB2312" w:cs="Times New Roman"/>
          <w:color w:val="auto"/>
          <w:kern w:val="0"/>
          <w:sz w:val="32"/>
          <w:szCs w:val="32"/>
          <w:lang w:val="en-US" w:eastAsia="zh-CN" w:bidi="ar-SA"/>
        </w:rPr>
        <w:t>草原</w:t>
      </w:r>
      <w:r>
        <w:rPr>
          <w:rFonts w:hint="default" w:ascii="Times New Roman" w:hAnsi="Times New Roman" w:eastAsia="仿宋_GB2312" w:cs="Times New Roman"/>
          <w:color w:val="auto"/>
          <w:kern w:val="0"/>
          <w:sz w:val="32"/>
          <w:szCs w:val="32"/>
          <w:lang w:val="en-US" w:eastAsia="zh-CN" w:bidi="ar-SA"/>
        </w:rPr>
        <w:t>发展模式，打通生态资源变资本资金的通道。加强废旧资</w:t>
      </w:r>
      <w:r>
        <w:rPr>
          <w:rFonts w:hint="default" w:ascii="Times New Roman" w:hAnsi="Times New Roman" w:eastAsia="仿宋_GB2312" w:cs="Times New Roman"/>
          <w:b w:val="0"/>
          <w:bCs w:val="0"/>
          <w:color w:val="auto"/>
          <w:spacing w:val="0"/>
          <w:kern w:val="2"/>
          <w:sz w:val="32"/>
          <w:szCs w:val="32"/>
          <w:highlight w:val="none"/>
          <w:u w:val="none" w:color="auto"/>
          <w:lang w:val="en-US" w:eastAsia="zh-CN" w:bidi="ar-SA"/>
        </w:rPr>
        <w:t>源循环利用体系建设，推进秸秆、农膜等废弃物资源化综合利用，</w:t>
      </w:r>
      <w:r>
        <w:rPr>
          <w:rFonts w:hint="default" w:ascii="Times New Roman" w:hAnsi="Times New Roman" w:eastAsia="仿宋_GB2312" w:cs="Times New Roman"/>
          <w:b w:val="0"/>
          <w:bCs w:val="0"/>
          <w:color w:val="auto"/>
          <w:spacing w:val="0"/>
          <w:kern w:val="2"/>
          <w:sz w:val="32"/>
          <w:szCs w:val="32"/>
          <w:highlight w:val="none"/>
          <w:u w:val="none" w:color="auto"/>
          <w:lang w:val="en-US" w:eastAsia="zh-CN" w:bidi="ar-SA"/>
        </w:rPr>
        <w:t>利用率达到全市平均水平</w:t>
      </w:r>
      <w:r>
        <w:rPr>
          <w:rFonts w:hint="default" w:ascii="Times New Roman" w:hAnsi="Times New Roman" w:eastAsia="仿宋_GB2312" w:cs="Times New Roman"/>
          <w:b w:val="0"/>
          <w:bCs w:val="0"/>
          <w:color w:val="auto"/>
          <w:spacing w:val="0"/>
          <w:kern w:val="2"/>
          <w:sz w:val="32"/>
          <w:szCs w:val="32"/>
          <w:highlight w:val="none"/>
          <w:u w:val="none" w:color="auto"/>
          <w:lang w:val="en-US" w:eastAsia="zh-CN" w:bidi="ar-SA"/>
        </w:rPr>
        <w:t>。大力发展生态旅游、</w:t>
      </w:r>
      <w:r>
        <w:rPr>
          <w:rFonts w:hint="default" w:ascii="Times New Roman" w:hAnsi="Times New Roman" w:eastAsia="仿宋_GB2312" w:cs="Times New Roman"/>
          <w:b w:val="0"/>
          <w:bCs w:val="0"/>
          <w:color w:val="auto"/>
          <w:spacing w:val="0"/>
          <w:kern w:val="2"/>
          <w:sz w:val="32"/>
          <w:szCs w:val="32"/>
          <w:highlight w:val="none"/>
          <w:u w:val="none" w:color="auto"/>
          <w:lang w:val="en-US" w:eastAsia="zh-CN" w:bidi="ar-SA"/>
        </w:rPr>
        <w:t>经济林</w:t>
      </w:r>
      <w:r>
        <w:rPr>
          <w:rFonts w:hint="default" w:ascii="Times New Roman" w:hAnsi="Times New Roman" w:eastAsia="仿宋_GB2312" w:cs="Times New Roman"/>
          <w:b w:val="0"/>
          <w:bCs w:val="0"/>
          <w:color w:val="auto"/>
          <w:spacing w:val="0"/>
          <w:kern w:val="2"/>
          <w:sz w:val="32"/>
          <w:szCs w:val="32"/>
          <w:highlight w:val="none"/>
          <w:u w:val="none" w:color="auto"/>
          <w:lang w:val="en-US" w:eastAsia="zh-CN" w:bidi="ar-SA"/>
        </w:rPr>
        <w:t>、柠条加工利用等生态产业，</w:t>
      </w:r>
      <w:r>
        <w:rPr>
          <w:rFonts w:hint="default" w:ascii="Times New Roman" w:hAnsi="Times New Roman" w:eastAsia="仿宋_GB2312" w:cs="Times New Roman"/>
          <w:b w:val="0"/>
          <w:bCs w:val="0"/>
          <w:color w:val="auto"/>
          <w:spacing w:val="0"/>
          <w:kern w:val="2"/>
          <w:sz w:val="32"/>
          <w:szCs w:val="32"/>
          <w:highlight w:val="none"/>
          <w:u w:val="none" w:color="auto"/>
          <w:lang w:val="en-US" w:eastAsia="zh-CN" w:bidi="ar-SA"/>
        </w:rPr>
        <w:t>实现</w:t>
      </w:r>
      <w:r>
        <w:rPr>
          <w:rFonts w:hint="default" w:ascii="Times New Roman" w:hAnsi="Times New Roman" w:eastAsia="仿宋_GB2312" w:cs="Times New Roman"/>
          <w:b w:val="0"/>
          <w:bCs w:val="0"/>
          <w:color w:val="auto"/>
          <w:spacing w:val="0"/>
          <w:kern w:val="2"/>
          <w:sz w:val="32"/>
          <w:szCs w:val="32"/>
          <w:highlight w:val="none"/>
          <w:u w:val="none" w:color="auto"/>
          <w:lang w:val="en-US" w:eastAsia="zh-CN" w:bidi="ar-SA"/>
        </w:rPr>
        <w:t>生态环境质量和</w:t>
      </w:r>
      <w:r>
        <w:rPr>
          <w:rFonts w:hint="default" w:ascii="Times New Roman" w:hAnsi="Times New Roman" w:eastAsia="仿宋_GB2312" w:cs="Times New Roman"/>
          <w:b w:val="0"/>
          <w:bCs w:val="0"/>
          <w:color w:val="auto"/>
          <w:spacing w:val="0"/>
          <w:kern w:val="2"/>
          <w:sz w:val="32"/>
          <w:szCs w:val="32"/>
          <w:highlight w:val="none"/>
          <w:u w:val="none" w:color="auto"/>
          <w:lang w:val="en-US" w:eastAsia="zh-CN" w:bidi="ar-SA"/>
        </w:rPr>
        <w:t>农牧民</w:t>
      </w:r>
      <w:r>
        <w:rPr>
          <w:rFonts w:hint="default" w:ascii="Times New Roman" w:hAnsi="Times New Roman" w:eastAsia="仿宋_GB2312" w:cs="Times New Roman"/>
          <w:b w:val="0"/>
          <w:bCs w:val="0"/>
          <w:color w:val="auto"/>
          <w:spacing w:val="0"/>
          <w:kern w:val="2"/>
          <w:sz w:val="32"/>
          <w:szCs w:val="32"/>
          <w:highlight w:val="none"/>
          <w:u w:val="none" w:color="auto"/>
          <w:lang w:val="en-US" w:eastAsia="zh-CN" w:bidi="ar-SA"/>
        </w:rPr>
        <w:t>收入双提升</w:t>
      </w:r>
      <w:r>
        <w:rPr>
          <w:rFonts w:hint="default" w:ascii="Times New Roman" w:hAnsi="Times New Roman" w:eastAsia="仿宋_GB2312" w:cs="Times New Roman"/>
          <w:b w:val="0"/>
          <w:bCs w:val="0"/>
          <w:color w:val="auto"/>
          <w:spacing w:val="0"/>
          <w:kern w:val="2"/>
          <w:sz w:val="32"/>
          <w:szCs w:val="32"/>
          <w:highlight w:val="none"/>
          <w:u w:val="none" w:color="auto"/>
          <w:lang w:val="en-US" w:eastAsia="zh-CN" w:bidi="ar-SA"/>
        </w:rPr>
        <w:t>。</w:t>
      </w:r>
    </w:p>
    <w:p w14:paraId="4DD7AF05">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楷体_GB2312" w:cs="Times New Roman"/>
          <w:color w:val="auto"/>
          <w:kern w:val="2"/>
          <w:sz w:val="32"/>
          <w:szCs w:val="24"/>
          <w:lang w:val="en-US" w:eastAsia="zh-CN" w:bidi="ar-SA"/>
        </w:rPr>
        <w:t>（七）延长农牧业产业链。</w:t>
      </w:r>
      <w:r>
        <w:rPr>
          <w:rFonts w:hint="default" w:ascii="Times New Roman" w:hAnsi="Times New Roman" w:eastAsia="仿宋_GB2312" w:cs="Times New Roman"/>
          <w:color w:val="auto"/>
          <w:kern w:val="0"/>
          <w:sz w:val="32"/>
          <w:szCs w:val="32"/>
          <w:lang w:val="en-US" w:eastAsia="zh-CN" w:bidi="ar-SA"/>
        </w:rPr>
        <w:t>聚焦农牧业优势特色产业，发展壮大农畜产品精深加工企业。鼓励恒科、人人益等龙头企业由初级加工向精深加工、单一产品向系列产品转变，以市场为导向，延伸产业链、打造供应链，带动提升全旗农牧业产业化水平，全旗牲畜屠宰加工量增长100%以上。鼓励加工小作坊建设，支持食用菌、辣椒与牛羊肉融合发展，开发新产品。全旗农产品加工业产值达到60亿元以上。</w:t>
      </w:r>
    </w:p>
    <w:p w14:paraId="177E7143">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color w:val="auto"/>
          <w:kern w:val="0"/>
          <w:sz w:val="32"/>
          <w:szCs w:val="24"/>
          <w:lang w:val="en-US" w:eastAsia="zh-CN" w:bidi="ar"/>
        </w:rPr>
      </w:pPr>
      <w:r>
        <w:rPr>
          <w:rFonts w:hint="default" w:ascii="Times New Roman" w:hAnsi="Times New Roman" w:eastAsia="楷体_GB2312" w:cs="Times New Roman"/>
          <w:color w:val="auto"/>
          <w:kern w:val="0"/>
          <w:sz w:val="32"/>
          <w:szCs w:val="32"/>
          <w:lang w:val="en-US" w:eastAsia="zh-CN" w:bidi="ar-SA"/>
        </w:rPr>
        <w:t>（八）拓宽农畜产品销售渠道。</w:t>
      </w:r>
      <w:r>
        <w:rPr>
          <w:rFonts w:hint="default" w:ascii="Times New Roman" w:hAnsi="Times New Roman" w:eastAsia="仿宋_GB2312" w:cs="Times New Roman"/>
          <w:b w:val="0"/>
          <w:bCs w:val="0"/>
          <w:color w:val="auto"/>
          <w:kern w:val="0"/>
          <w:sz w:val="32"/>
          <w:szCs w:val="24"/>
          <w:lang w:val="en-US" w:eastAsia="zh-CN" w:bidi="ar"/>
        </w:rPr>
        <w:t>以“草原村排”为媒，加强与抖音、淘宝、京东合作，支持农牧企业至少开设3家网上专营店，扶持其融入“暖城多味”电商平台，集中展销鄂前旗农畜产品，做好授权商品“产运库销”大数据统计分析，指导产销衔接，将赛事流量转化为经济增量，以“体育+”释放附加值。同时，升级改造三段地、城川、麻黄套农畜产品市场，更新冷藏保鲜库设备，配套分拣、加工、包装设施，提升产品档次与附加值及市场调剂能力。</w:t>
      </w:r>
    </w:p>
    <w:p w14:paraId="340CE58B">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color w:val="auto"/>
          <w:kern w:val="0"/>
          <w:sz w:val="32"/>
          <w:szCs w:val="24"/>
          <w:lang w:val="en-US" w:eastAsia="zh-CN" w:bidi="ar"/>
        </w:rPr>
      </w:pPr>
      <w:r>
        <w:rPr>
          <w:rFonts w:hint="default" w:ascii="Times New Roman" w:hAnsi="Times New Roman" w:eastAsia="楷体_GB2312" w:cs="Times New Roman"/>
          <w:color w:val="auto"/>
          <w:kern w:val="0"/>
          <w:sz w:val="32"/>
          <w:szCs w:val="32"/>
          <w:lang w:val="en-US" w:eastAsia="zh-CN" w:bidi="ar-SA"/>
        </w:rPr>
        <w:t>（九）提升产业化发展服务能力。</w:t>
      </w:r>
      <w:r>
        <w:rPr>
          <w:rFonts w:hint="default" w:ascii="Times New Roman" w:hAnsi="Times New Roman" w:eastAsia="仿宋_GB2312" w:cs="Times New Roman"/>
          <w:b w:val="0"/>
          <w:bCs w:val="0"/>
          <w:color w:val="auto"/>
          <w:kern w:val="0"/>
          <w:sz w:val="32"/>
          <w:szCs w:val="24"/>
          <w:lang w:val="en-US" w:eastAsia="zh-CN" w:bidi="ar"/>
        </w:rPr>
        <w:t>以优化服务、强化保障为核心，提升产业化发展服务能力，组建专业团队，为企业提供“落地—运营”全周期服务，设立服务热线与投诉平台，完善问题快速响应机制，优化营商环境。鼓励金融机构创新产品，加大农牧业信贷投放力度。设立品牌认证及标准制定扶持资金，围绕重点品牌制定产业标准，推动标准化、特色化发展。优化牛羊肉出栏销售奖励标准，加强政策宣传，简化申报兑付流程，拓宽农牧民增收渠道。严格执法监管，强化部门联动，运用监控设备等科技手段，加强农畜产品质量安全管控和屠宰行业规范管理，建立举报奖励机制，凝聚执法监管合力，保障产业健康发展。</w:t>
      </w:r>
    </w:p>
    <w:p w14:paraId="78728382">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CESI黑体-GB2312" w:cs="Times New Roman"/>
          <w:b w:val="0"/>
          <w:bCs w:val="0"/>
          <w:color w:val="auto"/>
          <w:sz w:val="32"/>
          <w:szCs w:val="32"/>
          <w:lang w:eastAsia="zh-CN"/>
        </w:rPr>
      </w:pPr>
      <w:r>
        <w:rPr>
          <w:rFonts w:hint="default" w:ascii="Times New Roman" w:hAnsi="Times New Roman" w:eastAsia="CESI黑体-GB2312" w:cs="Times New Roman"/>
          <w:b w:val="0"/>
          <w:bCs w:val="0"/>
          <w:color w:val="auto"/>
          <w:sz w:val="32"/>
          <w:szCs w:val="32"/>
          <w:lang w:eastAsia="zh-CN"/>
        </w:rPr>
        <w:t>三</w:t>
      </w:r>
      <w:r>
        <w:rPr>
          <w:rFonts w:hint="default" w:ascii="Times New Roman" w:hAnsi="Times New Roman" w:eastAsia="CESI黑体-GB2312" w:cs="Times New Roman"/>
          <w:b w:val="0"/>
          <w:bCs w:val="0"/>
          <w:color w:val="auto"/>
          <w:sz w:val="32"/>
          <w:szCs w:val="32"/>
        </w:rPr>
        <w:t>、</w:t>
      </w:r>
      <w:r>
        <w:rPr>
          <w:rFonts w:hint="default" w:ascii="Times New Roman" w:hAnsi="Times New Roman" w:eastAsia="CESI黑体-GB2312" w:cs="Times New Roman"/>
          <w:b w:val="0"/>
          <w:bCs w:val="0"/>
          <w:color w:val="auto"/>
          <w:sz w:val="32"/>
          <w:szCs w:val="32"/>
          <w:lang w:eastAsia="zh-CN"/>
        </w:rPr>
        <w:t>实施重点项目</w:t>
      </w:r>
    </w:p>
    <w:p w14:paraId="1E5CC9B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color w:val="auto"/>
          <w:lang w:val="en-US" w:eastAsia="zh-CN"/>
        </w:rPr>
      </w:pPr>
      <w:r>
        <w:rPr>
          <w:rFonts w:hint="default" w:ascii="Times New Roman" w:hAnsi="Times New Roman" w:eastAsia="仿宋_GB2312" w:cs="Times New Roman"/>
          <w:color w:val="auto"/>
          <w:kern w:val="2"/>
          <w:sz w:val="32"/>
          <w:szCs w:val="32"/>
          <w:lang w:val="en-US" w:eastAsia="zh-CN" w:bidi="ar-SA"/>
        </w:rPr>
        <w:t>农牧业产业化发展</w:t>
      </w:r>
      <w:r>
        <w:rPr>
          <w:rFonts w:hint="default" w:ascii="Times New Roman" w:hAnsi="Times New Roman" w:eastAsia="仿宋_GB2312" w:cs="Times New Roman"/>
          <w:color w:val="auto"/>
          <w:kern w:val="2"/>
          <w:sz w:val="32"/>
          <w:szCs w:val="32"/>
          <w:lang w:val="en-US" w:eastAsia="zh-CN" w:bidi="ar-SA"/>
        </w:rPr>
        <w:t>是乡村产业振兴</w:t>
      </w:r>
      <w:r>
        <w:rPr>
          <w:rFonts w:hint="default" w:ascii="Times New Roman" w:hAnsi="Times New Roman" w:eastAsia="仿宋_GB2312" w:cs="Times New Roman"/>
          <w:color w:val="auto"/>
          <w:kern w:val="2"/>
          <w:sz w:val="32"/>
          <w:szCs w:val="32"/>
          <w:lang w:val="en-US" w:eastAsia="zh-CN" w:bidi="ar-SA"/>
        </w:rPr>
        <w:t>赛道上</w:t>
      </w:r>
      <w:r>
        <w:rPr>
          <w:rFonts w:hint="default" w:ascii="Times New Roman" w:hAnsi="Times New Roman" w:eastAsia="仿宋_GB2312" w:cs="Times New Roman"/>
          <w:color w:val="auto"/>
          <w:kern w:val="2"/>
          <w:sz w:val="32"/>
          <w:szCs w:val="32"/>
          <w:lang w:val="en-US" w:eastAsia="zh-CN" w:bidi="ar-SA"/>
        </w:rPr>
        <w:t>的</w:t>
      </w:r>
      <w:r>
        <w:rPr>
          <w:rFonts w:hint="default" w:ascii="Times New Roman" w:hAnsi="Times New Roman" w:eastAsia="仿宋_GB2312" w:cs="Times New Roman"/>
          <w:color w:val="auto"/>
          <w:kern w:val="2"/>
          <w:sz w:val="32"/>
          <w:szCs w:val="32"/>
          <w:lang w:val="en-US" w:eastAsia="zh-CN" w:bidi="ar-SA"/>
        </w:rPr>
        <w:t>关键</w:t>
      </w:r>
      <w:r>
        <w:rPr>
          <w:rFonts w:hint="default" w:ascii="Times New Roman" w:hAnsi="Times New Roman" w:eastAsia="仿宋_GB2312" w:cs="Times New Roman"/>
          <w:color w:val="auto"/>
          <w:kern w:val="2"/>
          <w:sz w:val="32"/>
          <w:szCs w:val="32"/>
          <w:lang w:val="en-US" w:eastAsia="zh-CN" w:bidi="ar-SA"/>
        </w:rPr>
        <w:t>一环，拟实施项目14个，总投资13.948亿元，通过“政府+企业”投资方式，</w:t>
      </w:r>
      <w:r>
        <w:rPr>
          <w:rFonts w:hint="default" w:ascii="Times New Roman" w:hAnsi="Times New Roman" w:eastAsia="仿宋_GB2312" w:cs="Times New Roman"/>
          <w:color w:val="auto"/>
          <w:kern w:val="2"/>
          <w:sz w:val="32"/>
          <w:szCs w:val="32"/>
          <w:lang w:val="en-US" w:eastAsia="zh-CN" w:bidi="ar-SA"/>
        </w:rPr>
        <w:t>围绕农牧业产业化核心目标，全方位布局，充分借助政策推力，从种养殖源头把控，到精深加工技术升级，再到市场销售渠道拓展，</w:t>
      </w:r>
      <w:r>
        <w:rPr>
          <w:rFonts w:hint="default" w:ascii="Times New Roman" w:hAnsi="Times New Roman" w:eastAsia="仿宋_GB2312" w:cs="Times New Roman"/>
          <w:color w:val="auto"/>
          <w:kern w:val="2"/>
          <w:sz w:val="32"/>
          <w:szCs w:val="32"/>
          <w:lang w:val="en-US" w:eastAsia="zh-CN" w:bidi="ar-SA"/>
        </w:rPr>
        <w:t>将推动农畜产品由</w:t>
      </w:r>
      <w:r>
        <w:rPr>
          <w:rFonts w:hint="default" w:ascii="Times New Roman" w:hAnsi="Times New Roman" w:eastAsia="仿宋_GB2312" w:cs="Times New Roman"/>
          <w:color w:val="auto"/>
          <w:kern w:val="2"/>
          <w:sz w:val="32"/>
          <w:szCs w:val="32"/>
          <w:lang w:val="en-US" w:eastAsia="zh-CN" w:bidi="ar-SA"/>
        </w:rPr>
        <w:t>单一初级产品向高附加值的终端消费品转变，进一步完善农牧业产业链，提升农畜产品附加值，为农牧业产业化发展注入源源不断的活力。</w:t>
      </w:r>
    </w:p>
    <w:p w14:paraId="27438AE6">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CESI黑体-GB2312" w:cs="Times New Roman"/>
          <w:b w:val="0"/>
          <w:bCs w:val="0"/>
          <w:color w:val="auto"/>
          <w:sz w:val="32"/>
          <w:szCs w:val="32"/>
        </w:rPr>
      </w:pPr>
      <w:r>
        <w:rPr>
          <w:rFonts w:hint="default" w:ascii="Times New Roman" w:hAnsi="Times New Roman" w:eastAsia="CESI黑体-GB2312" w:cs="Times New Roman"/>
          <w:b w:val="0"/>
          <w:bCs w:val="0"/>
          <w:color w:val="auto"/>
          <w:sz w:val="32"/>
          <w:szCs w:val="32"/>
          <w:lang w:eastAsia="zh-CN"/>
        </w:rPr>
        <w:t>四、</w:t>
      </w:r>
      <w:r>
        <w:rPr>
          <w:rFonts w:hint="default" w:ascii="Times New Roman" w:hAnsi="Times New Roman" w:eastAsia="CESI黑体-GB2312" w:cs="Times New Roman"/>
          <w:b w:val="0"/>
          <w:bCs w:val="0"/>
          <w:color w:val="auto"/>
          <w:sz w:val="32"/>
          <w:szCs w:val="32"/>
        </w:rPr>
        <w:t>保障措施</w:t>
      </w:r>
    </w:p>
    <w:p w14:paraId="309C807B">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color w:val="auto"/>
          <w:kern w:val="0"/>
          <w:sz w:val="32"/>
          <w:szCs w:val="24"/>
          <w:lang w:val="en-US" w:eastAsia="zh-CN" w:bidi="ar"/>
        </w:rPr>
      </w:pPr>
      <w:r>
        <w:rPr>
          <w:rFonts w:hint="default" w:ascii="Times New Roman" w:hAnsi="Times New Roman" w:eastAsia="仿宋_GB2312" w:cs="Times New Roman"/>
          <w:b w:val="0"/>
          <w:bCs w:val="0"/>
          <w:color w:val="auto"/>
          <w:kern w:val="0"/>
          <w:sz w:val="32"/>
          <w:szCs w:val="24"/>
          <w:lang w:val="en-US" w:eastAsia="zh-CN" w:bidi="ar"/>
        </w:rPr>
        <w:t>（一）强化组织联动。</w:t>
      </w:r>
      <w:r>
        <w:rPr>
          <w:rFonts w:hint="default" w:ascii="Times New Roman" w:hAnsi="Times New Roman" w:eastAsia="仿宋_GB2312" w:cs="Times New Roman"/>
          <w:b w:val="0"/>
          <w:bCs w:val="0"/>
          <w:color w:val="auto"/>
          <w:kern w:val="0"/>
          <w:sz w:val="32"/>
          <w:szCs w:val="24"/>
          <w:lang w:val="en-US" w:eastAsia="zh-CN" w:bidi="ar"/>
        </w:rPr>
        <w:t>将农牧业产业化工作列入旗委农村牧区工作领导小组重点内容，成立旗政府主要领导任组长的专项领导小组，统筹解决重大问题；明确各镇具体责任，构建上下贯通、多级联动推进体系，健全考核机制，任务完成情况纳入年度绩效考核。</w:t>
      </w:r>
    </w:p>
    <w:p w14:paraId="588B6952">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color w:val="auto"/>
          <w:kern w:val="0"/>
          <w:sz w:val="32"/>
          <w:szCs w:val="24"/>
          <w:lang w:val="en-US" w:eastAsia="zh-CN" w:bidi="ar"/>
        </w:rPr>
      </w:pPr>
      <w:r>
        <w:rPr>
          <w:rFonts w:hint="default" w:ascii="Times New Roman" w:hAnsi="Times New Roman" w:eastAsia="仿宋_GB2312" w:cs="Times New Roman"/>
          <w:b w:val="0"/>
          <w:bCs w:val="0"/>
          <w:color w:val="auto"/>
          <w:kern w:val="0"/>
          <w:sz w:val="32"/>
          <w:szCs w:val="24"/>
          <w:lang w:val="en-US" w:eastAsia="zh-CN" w:bidi="ar"/>
        </w:rPr>
        <w:t>（二）加大资金支持。设立农牧业产业化发展专项资金，集中支持农畜产品加工、小作坊升级、物流配送等领域；引导社会资本参与，鼓励金融机构加大对龙头企业、新型经营主体的信贷支持，拓宽融资渠道。</w:t>
      </w:r>
    </w:p>
    <w:p w14:paraId="5597E410">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color w:val="auto"/>
          <w:kern w:val="0"/>
          <w:sz w:val="32"/>
          <w:szCs w:val="24"/>
          <w:lang w:val="en-US" w:eastAsia="zh-CN" w:bidi="ar"/>
        </w:rPr>
      </w:pPr>
      <w:r>
        <w:rPr>
          <w:rFonts w:hint="default" w:ascii="Times New Roman" w:hAnsi="Times New Roman" w:eastAsia="仿宋_GB2312" w:cs="Times New Roman"/>
          <w:b w:val="0"/>
          <w:bCs w:val="0"/>
          <w:color w:val="auto"/>
          <w:kern w:val="0"/>
          <w:sz w:val="32"/>
          <w:szCs w:val="24"/>
          <w:lang w:val="en-US" w:eastAsia="zh-CN" w:bidi="ar"/>
        </w:rPr>
        <w:t>（三）深化协同发展。强化区域农牧业合作交流，推动产业错位发展、资源优势互补；同时加强宣传氛围营造，提升各方参与积极性，为产业化发展凝聚合力。</w:t>
      </w:r>
    </w:p>
    <w:p w14:paraId="3DDDC57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小标宋简体" w:cs="Times New Roman"/>
          <w:color w:val="auto"/>
          <w:kern w:val="0"/>
          <w:sz w:val="32"/>
          <w:szCs w:val="32"/>
          <w:lang w:val="en-US" w:eastAsia="zh-CN" w:bidi="ar-SA"/>
        </w:rPr>
      </w:pPr>
      <w:r>
        <w:rPr>
          <w:rFonts w:hint="default" w:ascii="Times New Roman" w:hAnsi="Times New Roman" w:eastAsia="方正小标宋简体" w:cs="Times New Roman"/>
          <w:color w:val="auto"/>
          <w:kern w:val="0"/>
          <w:sz w:val="32"/>
          <w:szCs w:val="32"/>
          <w:lang w:val="en-US" w:eastAsia="zh-CN" w:bidi="ar-SA"/>
        </w:rPr>
        <w:br w:type="page"/>
      </w:r>
    </w:p>
    <w:p w14:paraId="410D03C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kern w:val="0"/>
          <w:sz w:val="28"/>
          <w:szCs w:val="28"/>
          <w:lang w:val="en-US" w:eastAsia="zh-CN" w:bidi="ar-SA"/>
        </w:rPr>
      </w:pPr>
      <w:r>
        <w:rPr>
          <w:rFonts w:hint="default" w:ascii="Times New Roman" w:hAnsi="Times New Roman" w:eastAsia="方正小标宋简体" w:cs="Times New Roman"/>
          <w:color w:val="auto"/>
          <w:kern w:val="0"/>
          <w:sz w:val="28"/>
          <w:szCs w:val="28"/>
          <w:lang w:val="en-US" w:eastAsia="zh-CN" w:bidi="ar-SA"/>
        </w:rPr>
        <w:t>鄂托克前旗农牧业产业化发展行动实施项目统计表</w:t>
      </w:r>
    </w:p>
    <w:tbl>
      <w:tblPr>
        <w:tblStyle w:val="18"/>
        <w:tblW w:w="9762" w:type="dxa"/>
        <w:tblInd w:w="-29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0"/>
        <w:gridCol w:w="1575"/>
        <w:gridCol w:w="4335"/>
        <w:gridCol w:w="1037"/>
        <w:gridCol w:w="911"/>
        <w:gridCol w:w="717"/>
        <w:gridCol w:w="587"/>
      </w:tblGrid>
      <w:tr w14:paraId="34C18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3"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7594B">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序号</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13CA3">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项目名称</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9A5BC">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建设内容及规模</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1D2B5">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投资类型</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61156">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总投资（万元）</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3C35B">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建设年限</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5E5E7">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备注</w:t>
            </w:r>
          </w:p>
        </w:tc>
      </w:tr>
      <w:tr w14:paraId="77002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6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5B9F01">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合计</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6B9AF">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454AE">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139480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BF52D">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CB9F1">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p>
        </w:tc>
      </w:tr>
      <w:tr w14:paraId="52FDA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6"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11E1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1</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9699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鄂托克前旗2026年自治区现代农牧业产业园项目</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CE3B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肉羊养殖示范户40户、智慧示范牧场20个，改造保鲜库500平方米、提升牛屠宰加工生产线一条，建成梳绒厂二期加工厂房一处，配套疏绒等生产加工设备。</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BBF2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政府+企业投资</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2122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11880</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94B8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2026-2027</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7F50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p>
        </w:tc>
      </w:tr>
      <w:tr w14:paraId="55BCE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73"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D3AC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2</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61F8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鄂托克前旗市级畜产品加工产业园项目</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A7AE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以“缺啥补啥”原则，扶持建设肉牛养殖牧场30个；建设肉食品精深加工车间2600㎡；厂区雨水收集及净化系统一套；车间配套预制菜生产线一条；建设梳绒加工车间2000㎡1个。</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7367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政府+企业投资</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19C9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2390</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9D05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2026</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AE50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p>
        </w:tc>
      </w:tr>
      <w:tr w14:paraId="06F3B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5F46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3</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370A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城川镇2026年农业产业强镇项目</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3426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1.辣椒色素超临界萃取，建设辣椒生产车间约2000平方米，酱菜生产车间，辣椒烘干及相关配套设备。</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3CFF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政府+企业投资</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86E4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1250</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5885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2026</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2531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p>
        </w:tc>
      </w:tr>
      <w:tr w14:paraId="0DF27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51"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66A0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4</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A5C7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阿尔巴斯绒山羊育种场建设项目</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7AF3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收回内蒙古亿乘畜牧业有限责任公司种羊场，并进行提升改造，配套数字化育种系统，与高校合作开展种业提升相关科研，提高社会化服务能力。</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F72F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政府投资</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F863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3000</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D7E6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2026-2027</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31A4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p>
        </w:tc>
      </w:tr>
      <w:tr w14:paraId="616F4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3"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A188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5</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8305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鄂托克前旗2025年西部绒山羊优势特色产业集群续建项目</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7B7F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开展10000只基础母羊（绒山羊）人工授精工作，完成20000只绒山羊抓绒服务，建成梳绒厂二期加工厂房一处，配套疏绒、纺纱等生产加工设备。</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8B8E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政府+企业投资</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CB6E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1400</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1C21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2026</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EFE8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p>
        </w:tc>
      </w:tr>
      <w:tr w14:paraId="1E6B9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4"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76C2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6</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A25C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昂素镇农业产业强镇第二批项目</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9E23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鄂尔多斯市“草原村排”品牌培育保护及产品体验店建设、高附加值羊肉深加工、种畜繁育体系建设、柠条饲料化加工科技创新、成果转化服务体系及加工储备基地建设。</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98B3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政府+企业投资</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29D4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2960</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B22F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2026</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62BC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p>
        </w:tc>
      </w:tr>
      <w:tr w14:paraId="0CDCC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600" w:type="dxa"/>
            <w:tcBorders>
              <w:top w:val="single" w:color="000000" w:sz="4" w:space="0"/>
              <w:left w:val="single" w:color="000000" w:sz="4" w:space="0"/>
              <w:bottom w:val="single" w:color="auto" w:sz="4" w:space="0"/>
              <w:right w:val="single" w:color="000000" w:sz="4" w:space="0"/>
            </w:tcBorders>
            <w:shd w:val="clear" w:color="auto" w:fill="auto"/>
            <w:vAlign w:val="center"/>
          </w:tcPr>
          <w:p w14:paraId="1BC2CC2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7</w:t>
            </w:r>
          </w:p>
        </w:tc>
        <w:tc>
          <w:tcPr>
            <w:tcW w:w="1575" w:type="dxa"/>
            <w:tcBorders>
              <w:top w:val="nil"/>
              <w:left w:val="single" w:color="000000" w:sz="4" w:space="0"/>
              <w:bottom w:val="single" w:color="auto" w:sz="4" w:space="0"/>
              <w:right w:val="single" w:color="000000" w:sz="4" w:space="0"/>
            </w:tcBorders>
            <w:shd w:val="clear" w:color="auto" w:fill="auto"/>
            <w:vAlign w:val="center"/>
          </w:tcPr>
          <w:p w14:paraId="79FD398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强英鸭产业链项目</w:t>
            </w:r>
          </w:p>
        </w:tc>
        <w:tc>
          <w:tcPr>
            <w:tcW w:w="4335" w:type="dxa"/>
            <w:tcBorders>
              <w:top w:val="nil"/>
              <w:left w:val="single" w:color="000000" w:sz="4" w:space="0"/>
              <w:bottom w:val="single" w:color="auto" w:sz="4" w:space="0"/>
              <w:right w:val="single" w:color="000000" w:sz="4" w:space="0"/>
            </w:tcBorders>
            <w:shd w:val="clear" w:color="auto" w:fill="auto"/>
            <w:vAlign w:val="center"/>
          </w:tcPr>
          <w:p w14:paraId="55936FE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300</w:t>
            </w:r>
            <w:r>
              <w:rPr>
                <w:rFonts w:hint="default" w:ascii="Times New Roman" w:hAnsi="Times New Roman" w:eastAsia="仿宋_GB2312" w:cs="Times New Roman"/>
                <w:i w:val="0"/>
                <w:iCs w:val="0"/>
                <w:color w:val="000000"/>
                <w:kern w:val="0"/>
                <w:sz w:val="18"/>
                <w:szCs w:val="18"/>
                <w:u w:val="none"/>
                <w:lang w:val="en-US" w:eastAsia="zh-CN" w:bidi="ar"/>
              </w:rPr>
              <w:t>万羽种鸭养殖基地建设项目、年产</w:t>
            </w:r>
            <w:r>
              <w:rPr>
                <w:rFonts w:hint="default" w:ascii="Times New Roman" w:hAnsi="Times New Roman" w:eastAsia="仿宋_GB2312" w:cs="Times New Roman"/>
                <w:i w:val="0"/>
                <w:iCs w:val="0"/>
                <w:color w:val="000000"/>
                <w:kern w:val="0"/>
                <w:sz w:val="18"/>
                <w:szCs w:val="18"/>
                <w:u w:val="none"/>
                <w:lang w:val="en-US" w:eastAsia="zh-CN" w:bidi="ar"/>
              </w:rPr>
              <w:t>60</w:t>
            </w:r>
            <w:r>
              <w:rPr>
                <w:rFonts w:hint="default" w:ascii="Times New Roman" w:hAnsi="Times New Roman" w:eastAsia="仿宋_GB2312" w:cs="Times New Roman"/>
                <w:i w:val="0"/>
                <w:iCs w:val="0"/>
                <w:color w:val="000000"/>
                <w:kern w:val="0"/>
                <w:sz w:val="18"/>
                <w:szCs w:val="18"/>
                <w:u w:val="none"/>
                <w:lang w:val="en-US" w:eastAsia="zh-CN" w:bidi="ar"/>
              </w:rPr>
              <w:t>万吨饲料加工项目、年孵化捣苗</w:t>
            </w:r>
            <w:r>
              <w:rPr>
                <w:rFonts w:hint="default" w:ascii="Times New Roman" w:hAnsi="Times New Roman" w:eastAsia="仿宋_GB2312" w:cs="Times New Roman"/>
                <w:i w:val="0"/>
                <w:iCs w:val="0"/>
                <w:color w:val="000000"/>
                <w:kern w:val="0"/>
                <w:sz w:val="18"/>
                <w:szCs w:val="18"/>
                <w:u w:val="none"/>
                <w:lang w:val="en-US" w:eastAsia="zh-CN" w:bidi="ar"/>
              </w:rPr>
              <w:t>1</w:t>
            </w:r>
            <w:r>
              <w:rPr>
                <w:rFonts w:hint="default" w:ascii="Times New Roman" w:hAnsi="Times New Roman" w:eastAsia="仿宋_GB2312" w:cs="Times New Roman"/>
                <w:i w:val="0"/>
                <w:iCs w:val="0"/>
                <w:color w:val="000000"/>
                <w:kern w:val="0"/>
                <w:sz w:val="18"/>
                <w:szCs w:val="18"/>
                <w:u w:val="none"/>
                <w:lang w:val="en-US" w:eastAsia="zh-CN" w:bidi="ar"/>
              </w:rPr>
              <w:t>亿羽项目、年加工</w:t>
            </w:r>
            <w:r>
              <w:rPr>
                <w:rFonts w:hint="default" w:ascii="Times New Roman" w:hAnsi="Times New Roman" w:eastAsia="仿宋_GB2312" w:cs="Times New Roman"/>
                <w:i w:val="0"/>
                <w:iCs w:val="0"/>
                <w:color w:val="000000"/>
                <w:kern w:val="0"/>
                <w:sz w:val="18"/>
                <w:szCs w:val="18"/>
                <w:u w:val="none"/>
                <w:lang w:val="en-US" w:eastAsia="zh-CN" w:bidi="ar"/>
              </w:rPr>
              <w:t>4000</w:t>
            </w:r>
            <w:r>
              <w:rPr>
                <w:rFonts w:hint="default" w:ascii="Times New Roman" w:hAnsi="Times New Roman" w:eastAsia="仿宋_GB2312" w:cs="Times New Roman"/>
                <w:i w:val="0"/>
                <w:iCs w:val="0"/>
                <w:color w:val="000000"/>
                <w:kern w:val="0"/>
                <w:sz w:val="18"/>
                <w:szCs w:val="18"/>
                <w:u w:val="none"/>
                <w:lang w:val="en-US" w:eastAsia="zh-CN" w:bidi="ar"/>
              </w:rPr>
              <w:t>万羽肉鸭屠宰加工项目、羽绒加工厂项目和配套建设公司加农户模式的肉鸭养殖基地项目。</w:t>
            </w:r>
          </w:p>
        </w:tc>
        <w:tc>
          <w:tcPr>
            <w:tcW w:w="1037" w:type="dxa"/>
            <w:tcBorders>
              <w:top w:val="nil"/>
              <w:left w:val="single" w:color="000000" w:sz="4" w:space="0"/>
              <w:bottom w:val="single" w:color="auto" w:sz="4" w:space="0"/>
              <w:right w:val="single" w:color="000000" w:sz="4" w:space="0"/>
            </w:tcBorders>
            <w:shd w:val="clear" w:color="auto" w:fill="auto"/>
            <w:vAlign w:val="center"/>
          </w:tcPr>
          <w:p w14:paraId="41C3200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企业投资</w:t>
            </w:r>
          </w:p>
        </w:tc>
        <w:tc>
          <w:tcPr>
            <w:tcW w:w="911" w:type="dxa"/>
            <w:tcBorders>
              <w:top w:val="nil"/>
              <w:left w:val="single" w:color="000000" w:sz="4" w:space="0"/>
              <w:bottom w:val="single" w:color="auto" w:sz="4" w:space="0"/>
              <w:right w:val="single" w:color="000000" w:sz="4" w:space="0"/>
            </w:tcBorders>
            <w:shd w:val="clear" w:color="auto" w:fill="auto"/>
            <w:noWrap/>
            <w:vAlign w:val="center"/>
          </w:tcPr>
          <w:p w14:paraId="1E1BB7D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80000</w:t>
            </w:r>
          </w:p>
        </w:tc>
        <w:tc>
          <w:tcPr>
            <w:tcW w:w="717" w:type="dxa"/>
            <w:tcBorders>
              <w:top w:val="nil"/>
              <w:left w:val="single" w:color="000000" w:sz="4" w:space="0"/>
              <w:bottom w:val="single" w:color="auto" w:sz="4" w:space="0"/>
              <w:right w:val="single" w:color="000000" w:sz="4" w:space="0"/>
            </w:tcBorders>
            <w:shd w:val="clear" w:color="auto" w:fill="auto"/>
            <w:noWrap/>
            <w:vAlign w:val="center"/>
          </w:tcPr>
          <w:p w14:paraId="53A8BD2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202</w:t>
            </w:r>
            <w:r>
              <w:rPr>
                <w:rFonts w:hint="default" w:ascii="Times New Roman" w:hAnsi="Times New Roman" w:eastAsia="仿宋_GB2312" w:cs="Times New Roman"/>
                <w:i w:val="0"/>
                <w:iCs w:val="0"/>
                <w:color w:val="000000"/>
                <w:kern w:val="0"/>
                <w:sz w:val="18"/>
                <w:szCs w:val="18"/>
                <w:u w:val="none"/>
                <w:lang w:val="en-US" w:eastAsia="zh-CN" w:bidi="ar"/>
              </w:rPr>
              <w:t>5</w:t>
            </w:r>
            <w:r>
              <w:rPr>
                <w:rFonts w:hint="default" w:ascii="Times New Roman" w:hAnsi="Times New Roman" w:eastAsia="仿宋_GB2312" w:cs="Times New Roman"/>
                <w:i w:val="0"/>
                <w:iCs w:val="0"/>
                <w:color w:val="000000"/>
                <w:kern w:val="0"/>
                <w:sz w:val="18"/>
                <w:szCs w:val="18"/>
                <w:u w:val="none"/>
                <w:lang w:val="en-US" w:eastAsia="zh-CN" w:bidi="ar"/>
              </w:rPr>
              <w:t>-2027</w:t>
            </w:r>
          </w:p>
        </w:tc>
        <w:tc>
          <w:tcPr>
            <w:tcW w:w="58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59E7BE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p>
        </w:tc>
      </w:tr>
      <w:tr w14:paraId="3D213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5" w:hRule="atLeast"/>
        </w:trPr>
        <w:tc>
          <w:tcPr>
            <w:tcW w:w="600" w:type="dxa"/>
            <w:tcBorders>
              <w:top w:val="single" w:color="auto" w:sz="4" w:space="0"/>
              <w:left w:val="single" w:color="auto" w:sz="4" w:space="0"/>
              <w:bottom w:val="single" w:color="auto" w:sz="4" w:space="0"/>
              <w:right w:val="single" w:color="auto" w:sz="4" w:space="0"/>
            </w:tcBorders>
            <w:shd w:val="clear" w:color="auto" w:fill="auto"/>
            <w:vAlign w:val="center"/>
          </w:tcPr>
          <w:p w14:paraId="35A5477D">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序号</w:t>
            </w:r>
          </w:p>
        </w:tc>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0656131F">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项目名称</w:t>
            </w:r>
          </w:p>
        </w:tc>
        <w:tc>
          <w:tcPr>
            <w:tcW w:w="4335" w:type="dxa"/>
            <w:tcBorders>
              <w:top w:val="single" w:color="auto" w:sz="4" w:space="0"/>
              <w:left w:val="single" w:color="auto" w:sz="4" w:space="0"/>
              <w:bottom w:val="single" w:color="auto" w:sz="4" w:space="0"/>
              <w:right w:val="single" w:color="auto" w:sz="4" w:space="0"/>
            </w:tcBorders>
            <w:shd w:val="clear" w:color="auto" w:fill="auto"/>
            <w:vAlign w:val="center"/>
          </w:tcPr>
          <w:p w14:paraId="197A163B">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建设内容及规模</w:t>
            </w:r>
          </w:p>
        </w:tc>
        <w:tc>
          <w:tcPr>
            <w:tcW w:w="1037" w:type="dxa"/>
            <w:tcBorders>
              <w:top w:val="single" w:color="auto" w:sz="4" w:space="0"/>
              <w:left w:val="single" w:color="auto" w:sz="4" w:space="0"/>
              <w:bottom w:val="single" w:color="auto" w:sz="4" w:space="0"/>
              <w:right w:val="single" w:color="auto" w:sz="4" w:space="0"/>
            </w:tcBorders>
            <w:shd w:val="clear" w:color="auto" w:fill="auto"/>
            <w:vAlign w:val="center"/>
          </w:tcPr>
          <w:p w14:paraId="1A0233EF">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投资类型</w:t>
            </w:r>
          </w:p>
        </w:tc>
        <w:tc>
          <w:tcPr>
            <w:tcW w:w="91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05F28D">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总投资（万元）</w:t>
            </w:r>
          </w:p>
        </w:tc>
        <w:tc>
          <w:tcPr>
            <w:tcW w:w="7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DB3304">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建设年限</w:t>
            </w:r>
          </w:p>
        </w:tc>
        <w:tc>
          <w:tcPr>
            <w:tcW w:w="5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284A74">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备注</w:t>
            </w:r>
          </w:p>
        </w:tc>
      </w:tr>
      <w:tr w14:paraId="02443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1" w:hRule="atLeast"/>
        </w:trPr>
        <w:tc>
          <w:tcPr>
            <w:tcW w:w="600" w:type="dxa"/>
            <w:tcBorders>
              <w:top w:val="single" w:color="auto" w:sz="4" w:space="0"/>
              <w:left w:val="single" w:color="000000" w:sz="4" w:space="0"/>
              <w:bottom w:val="single" w:color="000000" w:sz="4" w:space="0"/>
              <w:right w:val="single" w:color="000000" w:sz="4" w:space="0"/>
            </w:tcBorders>
            <w:shd w:val="clear" w:color="auto" w:fill="auto"/>
            <w:vAlign w:val="center"/>
          </w:tcPr>
          <w:p w14:paraId="4AED742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8</w:t>
            </w:r>
          </w:p>
        </w:tc>
        <w:tc>
          <w:tcPr>
            <w:tcW w:w="1575" w:type="dxa"/>
            <w:tcBorders>
              <w:top w:val="single" w:color="auto" w:sz="4" w:space="0"/>
              <w:left w:val="single" w:color="000000" w:sz="4" w:space="0"/>
              <w:bottom w:val="single" w:color="000000" w:sz="4" w:space="0"/>
              <w:right w:val="single" w:color="000000" w:sz="4" w:space="0"/>
            </w:tcBorders>
            <w:shd w:val="clear" w:color="auto" w:fill="auto"/>
            <w:vAlign w:val="center"/>
          </w:tcPr>
          <w:p w14:paraId="06643A5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优势特色产业集聚区建设项目</w:t>
            </w:r>
          </w:p>
        </w:tc>
        <w:tc>
          <w:tcPr>
            <w:tcW w:w="4335" w:type="dxa"/>
            <w:tcBorders>
              <w:top w:val="single" w:color="auto" w:sz="4" w:space="0"/>
              <w:left w:val="single" w:color="000000" w:sz="4" w:space="0"/>
              <w:bottom w:val="single" w:color="000000" w:sz="4" w:space="0"/>
              <w:right w:val="single" w:color="000000" w:sz="4" w:space="0"/>
            </w:tcBorders>
            <w:shd w:val="clear" w:color="auto" w:fill="auto"/>
            <w:vAlign w:val="center"/>
          </w:tcPr>
          <w:p w14:paraId="1B779E9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每年启动1个市级现代农牧业产业园；扶持打造1个市级农牧业产业强镇；推动建设1个优质优势特色生产基地、原料基地、加工基地。</w:t>
            </w:r>
          </w:p>
        </w:tc>
        <w:tc>
          <w:tcPr>
            <w:tcW w:w="1037" w:type="dxa"/>
            <w:tcBorders>
              <w:top w:val="single" w:color="auto" w:sz="4" w:space="0"/>
              <w:left w:val="single" w:color="000000" w:sz="4" w:space="0"/>
              <w:bottom w:val="single" w:color="000000" w:sz="4" w:space="0"/>
              <w:right w:val="single" w:color="000000" w:sz="4" w:space="0"/>
            </w:tcBorders>
            <w:shd w:val="clear" w:color="auto" w:fill="auto"/>
            <w:vAlign w:val="center"/>
          </w:tcPr>
          <w:p w14:paraId="3E3F606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政府+企业投资</w:t>
            </w:r>
          </w:p>
        </w:tc>
        <w:tc>
          <w:tcPr>
            <w:tcW w:w="911"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272220A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7600</w:t>
            </w:r>
          </w:p>
        </w:tc>
        <w:tc>
          <w:tcPr>
            <w:tcW w:w="717"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320A6D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2027</w:t>
            </w:r>
            <w:r>
              <w:rPr>
                <w:rFonts w:hint="default" w:ascii="Times New Roman" w:hAnsi="Times New Roman" w:eastAsia="仿宋_GB2312" w:cs="Times New Roman"/>
                <w:i w:val="0"/>
                <w:iCs w:val="0"/>
                <w:color w:val="000000"/>
                <w:kern w:val="0"/>
                <w:sz w:val="18"/>
                <w:szCs w:val="18"/>
                <w:u w:val="none"/>
                <w:lang w:val="en-US" w:eastAsia="zh-CN" w:bidi="ar"/>
              </w:rPr>
              <w:t>-2029</w:t>
            </w:r>
          </w:p>
        </w:tc>
        <w:tc>
          <w:tcPr>
            <w:tcW w:w="587"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3F68087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p>
        </w:tc>
      </w:tr>
      <w:tr w14:paraId="6700D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28"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CF18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9</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4B82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鄂托克前旗</w:t>
            </w:r>
            <w:r>
              <w:rPr>
                <w:rFonts w:hint="default" w:ascii="Times New Roman" w:hAnsi="Times New Roman" w:eastAsia="仿宋_GB2312" w:cs="Times New Roman"/>
                <w:i w:val="0"/>
                <w:iCs w:val="0"/>
                <w:color w:val="000000"/>
                <w:kern w:val="0"/>
                <w:sz w:val="18"/>
                <w:szCs w:val="18"/>
                <w:u w:val="none"/>
                <w:lang w:val="en-US" w:eastAsia="zh-CN" w:bidi="ar"/>
              </w:rPr>
              <w:t>“</w:t>
            </w:r>
            <w:r>
              <w:rPr>
                <w:rFonts w:hint="default" w:ascii="Times New Roman" w:hAnsi="Times New Roman" w:eastAsia="仿宋_GB2312" w:cs="Times New Roman"/>
                <w:i w:val="0"/>
                <w:iCs w:val="0"/>
                <w:color w:val="000000"/>
                <w:kern w:val="0"/>
                <w:sz w:val="18"/>
                <w:szCs w:val="18"/>
                <w:u w:val="none"/>
                <w:lang w:val="en-US" w:eastAsia="zh-CN" w:bidi="ar"/>
              </w:rPr>
              <w:t>北牛南运</w:t>
            </w:r>
            <w:r>
              <w:rPr>
                <w:rFonts w:hint="default" w:ascii="Times New Roman" w:hAnsi="Times New Roman" w:eastAsia="仿宋_GB2312" w:cs="Times New Roman"/>
                <w:i w:val="0"/>
                <w:iCs w:val="0"/>
                <w:color w:val="000000"/>
                <w:kern w:val="0"/>
                <w:sz w:val="18"/>
                <w:szCs w:val="18"/>
                <w:u w:val="none"/>
                <w:lang w:val="en-US" w:eastAsia="zh-CN" w:bidi="ar"/>
              </w:rPr>
              <w:t>”</w:t>
            </w:r>
            <w:r>
              <w:rPr>
                <w:rFonts w:hint="default" w:ascii="Times New Roman" w:hAnsi="Times New Roman" w:eastAsia="仿宋_GB2312" w:cs="Times New Roman"/>
                <w:i w:val="0"/>
                <w:iCs w:val="0"/>
                <w:color w:val="000000"/>
                <w:kern w:val="0"/>
                <w:sz w:val="18"/>
                <w:szCs w:val="18"/>
                <w:u w:val="none"/>
                <w:lang w:val="en-US" w:eastAsia="zh-CN" w:bidi="ar"/>
              </w:rPr>
              <w:t>中转驿站建设项目</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BD6A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w:t>
            </w:r>
            <w:r>
              <w:rPr>
                <w:rFonts w:hint="default" w:ascii="Times New Roman" w:hAnsi="Times New Roman" w:eastAsia="仿宋_GB2312" w:cs="Times New Roman"/>
                <w:i w:val="0"/>
                <w:iCs w:val="0"/>
                <w:color w:val="000000"/>
                <w:kern w:val="0"/>
                <w:sz w:val="18"/>
                <w:szCs w:val="18"/>
                <w:u w:val="none"/>
                <w:lang w:val="en-US" w:eastAsia="zh-CN" w:bidi="ar"/>
              </w:rPr>
              <w:t>北牛南运</w:t>
            </w:r>
            <w:r>
              <w:rPr>
                <w:rFonts w:hint="default" w:ascii="Times New Roman" w:hAnsi="Times New Roman" w:eastAsia="仿宋_GB2312" w:cs="Times New Roman"/>
                <w:i w:val="0"/>
                <w:iCs w:val="0"/>
                <w:color w:val="000000"/>
                <w:kern w:val="0"/>
                <w:sz w:val="18"/>
                <w:szCs w:val="18"/>
                <w:u w:val="none"/>
                <w:lang w:val="en-US" w:eastAsia="zh-CN" w:bidi="ar"/>
              </w:rPr>
              <w:t>”</w:t>
            </w:r>
            <w:r>
              <w:rPr>
                <w:rFonts w:hint="default" w:ascii="Times New Roman" w:hAnsi="Times New Roman" w:eastAsia="仿宋_GB2312" w:cs="Times New Roman"/>
                <w:i w:val="0"/>
                <w:iCs w:val="0"/>
                <w:color w:val="000000"/>
                <w:kern w:val="0"/>
                <w:sz w:val="18"/>
                <w:szCs w:val="18"/>
                <w:u w:val="none"/>
                <w:lang w:val="en-US" w:eastAsia="zh-CN" w:bidi="ar"/>
              </w:rPr>
              <w:t>工程涵盖养殖育种、运输中转、冷链加工、产销监管等多个核心环节，实施</w:t>
            </w:r>
            <w:r>
              <w:rPr>
                <w:rFonts w:hint="default" w:ascii="Times New Roman" w:hAnsi="Times New Roman" w:eastAsia="仿宋_GB2312" w:cs="Times New Roman"/>
                <w:i w:val="0"/>
                <w:iCs w:val="0"/>
                <w:color w:val="000000"/>
                <w:kern w:val="0"/>
                <w:sz w:val="18"/>
                <w:szCs w:val="18"/>
                <w:u w:val="none"/>
                <w:lang w:val="en-US" w:eastAsia="zh-CN" w:bidi="ar"/>
              </w:rPr>
              <w:t>“</w:t>
            </w:r>
            <w:r>
              <w:rPr>
                <w:rFonts w:hint="default" w:ascii="Times New Roman" w:hAnsi="Times New Roman" w:eastAsia="仿宋_GB2312" w:cs="Times New Roman"/>
                <w:i w:val="0"/>
                <w:iCs w:val="0"/>
                <w:color w:val="000000"/>
                <w:kern w:val="0"/>
                <w:sz w:val="18"/>
                <w:szCs w:val="18"/>
                <w:u w:val="none"/>
                <w:lang w:val="en-US" w:eastAsia="zh-CN" w:bidi="ar"/>
              </w:rPr>
              <w:t>草原牛种源提升计划</w:t>
            </w:r>
            <w:r>
              <w:rPr>
                <w:rFonts w:hint="default" w:ascii="Times New Roman" w:hAnsi="Times New Roman" w:eastAsia="仿宋_GB2312" w:cs="Times New Roman"/>
                <w:i w:val="0"/>
                <w:iCs w:val="0"/>
                <w:color w:val="000000"/>
                <w:kern w:val="0"/>
                <w:sz w:val="18"/>
                <w:szCs w:val="18"/>
                <w:u w:val="none"/>
                <w:lang w:val="en-US" w:eastAsia="zh-CN" w:bidi="ar"/>
              </w:rPr>
              <w:t>”</w:t>
            </w:r>
            <w:r>
              <w:rPr>
                <w:rFonts w:hint="default" w:ascii="Times New Roman" w:hAnsi="Times New Roman" w:eastAsia="仿宋_GB2312" w:cs="Times New Roman"/>
                <w:i w:val="0"/>
                <w:iCs w:val="0"/>
                <w:color w:val="000000"/>
                <w:kern w:val="0"/>
                <w:sz w:val="18"/>
                <w:szCs w:val="18"/>
                <w:u w:val="none"/>
                <w:lang w:val="en-US" w:eastAsia="zh-CN" w:bidi="ar"/>
              </w:rPr>
              <w:t>，每年向大湾区稳定供应优质牛源；通过</w:t>
            </w:r>
            <w:r>
              <w:rPr>
                <w:rFonts w:hint="default" w:ascii="Times New Roman" w:hAnsi="Times New Roman" w:eastAsia="仿宋_GB2312" w:cs="Times New Roman"/>
                <w:i w:val="0"/>
                <w:iCs w:val="0"/>
                <w:color w:val="000000"/>
                <w:kern w:val="0"/>
                <w:sz w:val="18"/>
                <w:szCs w:val="18"/>
                <w:u w:val="none"/>
                <w:lang w:val="en-US" w:eastAsia="zh-CN" w:bidi="ar"/>
              </w:rPr>
              <w:t>“</w:t>
            </w:r>
            <w:r>
              <w:rPr>
                <w:rFonts w:hint="default" w:ascii="Times New Roman" w:hAnsi="Times New Roman" w:eastAsia="仿宋_GB2312" w:cs="Times New Roman"/>
                <w:i w:val="0"/>
                <w:iCs w:val="0"/>
                <w:color w:val="000000"/>
                <w:kern w:val="0"/>
                <w:sz w:val="18"/>
                <w:szCs w:val="18"/>
                <w:u w:val="none"/>
                <w:lang w:val="en-US" w:eastAsia="zh-CN" w:bidi="ar"/>
              </w:rPr>
              <w:t>企业</w:t>
            </w:r>
            <w:r>
              <w:rPr>
                <w:rFonts w:hint="default" w:ascii="Times New Roman" w:hAnsi="Times New Roman" w:eastAsia="仿宋_GB2312" w:cs="Times New Roman"/>
                <w:i w:val="0"/>
                <w:iCs w:val="0"/>
                <w:color w:val="000000"/>
                <w:kern w:val="0"/>
                <w:sz w:val="18"/>
                <w:szCs w:val="18"/>
                <w:u w:val="none"/>
                <w:lang w:val="en-US" w:eastAsia="zh-CN" w:bidi="ar"/>
              </w:rPr>
              <w:t>+</w:t>
            </w:r>
            <w:r>
              <w:rPr>
                <w:rFonts w:hint="default" w:ascii="Times New Roman" w:hAnsi="Times New Roman" w:eastAsia="仿宋_GB2312" w:cs="Times New Roman"/>
                <w:i w:val="0"/>
                <w:iCs w:val="0"/>
                <w:color w:val="000000"/>
                <w:kern w:val="0"/>
                <w:sz w:val="18"/>
                <w:szCs w:val="18"/>
                <w:u w:val="none"/>
                <w:lang w:val="en-US" w:eastAsia="zh-CN" w:bidi="ar"/>
              </w:rPr>
              <w:t>合作社</w:t>
            </w:r>
            <w:r>
              <w:rPr>
                <w:rFonts w:hint="default" w:ascii="Times New Roman" w:hAnsi="Times New Roman" w:eastAsia="仿宋_GB2312" w:cs="Times New Roman"/>
                <w:i w:val="0"/>
                <w:iCs w:val="0"/>
                <w:color w:val="000000"/>
                <w:kern w:val="0"/>
                <w:sz w:val="18"/>
                <w:szCs w:val="18"/>
                <w:u w:val="none"/>
                <w:lang w:val="en-US" w:eastAsia="zh-CN" w:bidi="ar"/>
              </w:rPr>
              <w:t>+</w:t>
            </w:r>
            <w:r>
              <w:rPr>
                <w:rFonts w:hint="default" w:ascii="Times New Roman" w:hAnsi="Times New Roman" w:eastAsia="仿宋_GB2312" w:cs="Times New Roman"/>
                <w:i w:val="0"/>
                <w:iCs w:val="0"/>
                <w:color w:val="000000"/>
                <w:kern w:val="0"/>
                <w:sz w:val="18"/>
                <w:szCs w:val="18"/>
                <w:u w:val="none"/>
                <w:lang w:val="en-US" w:eastAsia="zh-CN" w:bidi="ar"/>
              </w:rPr>
              <w:t>农户</w:t>
            </w:r>
            <w:r>
              <w:rPr>
                <w:rFonts w:hint="default" w:ascii="Times New Roman" w:hAnsi="Times New Roman" w:eastAsia="仿宋_GB2312" w:cs="Times New Roman"/>
                <w:i w:val="0"/>
                <w:iCs w:val="0"/>
                <w:color w:val="000000"/>
                <w:kern w:val="0"/>
                <w:sz w:val="18"/>
                <w:szCs w:val="18"/>
                <w:u w:val="none"/>
                <w:lang w:val="en-US" w:eastAsia="zh-CN" w:bidi="ar"/>
              </w:rPr>
              <w:t>”</w:t>
            </w:r>
            <w:r>
              <w:rPr>
                <w:rFonts w:hint="default" w:ascii="Times New Roman" w:hAnsi="Times New Roman" w:eastAsia="仿宋_GB2312" w:cs="Times New Roman"/>
                <w:i w:val="0"/>
                <w:iCs w:val="0"/>
                <w:color w:val="000000"/>
                <w:kern w:val="0"/>
                <w:sz w:val="18"/>
                <w:szCs w:val="18"/>
                <w:u w:val="none"/>
                <w:lang w:val="en-US" w:eastAsia="zh-CN" w:bidi="ar"/>
              </w:rPr>
              <w:t>模式整合养殖资源，推行标准化养殖。</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2392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政府+企业投资</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7E18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2000</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2E77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2027</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3AE5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p>
        </w:tc>
      </w:tr>
      <w:tr w14:paraId="3839C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13"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28CA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10</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EF79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恒鑫果蔬设施农业加工物流园建设项目</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A017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本项目拟规划建设三大核心板块，总占地面积 150亩。建设10亩辣椒酱加工厂，10亩番茄汁加工厂</w:t>
            </w:r>
            <w:r>
              <w:rPr>
                <w:rFonts w:hint="default" w:ascii="Times New Roman" w:hAnsi="Times New Roman" w:eastAsia="仿宋_GB2312" w:cs="Times New Roman"/>
                <w:i w:val="0"/>
                <w:iCs w:val="0"/>
                <w:color w:val="000000"/>
                <w:kern w:val="0"/>
                <w:sz w:val="18"/>
                <w:szCs w:val="18"/>
                <w:u w:val="none"/>
                <w:lang w:val="en-US" w:eastAsia="zh-CN" w:bidi="ar"/>
              </w:rPr>
              <w:t>、</w:t>
            </w:r>
            <w:r>
              <w:rPr>
                <w:rFonts w:hint="default" w:ascii="Times New Roman" w:hAnsi="Times New Roman" w:eastAsia="仿宋_GB2312" w:cs="Times New Roman"/>
                <w:i w:val="0"/>
                <w:iCs w:val="0"/>
                <w:color w:val="000000"/>
                <w:kern w:val="0"/>
                <w:sz w:val="18"/>
                <w:szCs w:val="18"/>
                <w:u w:val="none"/>
                <w:lang w:val="en-US" w:eastAsia="zh-CN" w:bidi="ar"/>
              </w:rPr>
              <w:t>130亩日光温室</w:t>
            </w:r>
            <w:r>
              <w:rPr>
                <w:rFonts w:hint="default" w:ascii="Times New Roman" w:hAnsi="Times New Roman" w:eastAsia="仿宋_GB2312" w:cs="Times New Roman"/>
                <w:i w:val="0"/>
                <w:iCs w:val="0"/>
                <w:color w:val="000000"/>
                <w:kern w:val="0"/>
                <w:sz w:val="18"/>
                <w:szCs w:val="18"/>
                <w:u w:val="none"/>
                <w:lang w:val="en-US" w:eastAsia="zh-CN" w:bidi="ar"/>
              </w:rPr>
              <w:t>。</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08A3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企业投资</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7EE4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5000</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FEE7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2027</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039C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p>
        </w:tc>
      </w:tr>
      <w:tr w14:paraId="3D7F0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1"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8BDD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11</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EE9C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鄂托克前旗牛羊肉精深加工项目</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9084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新建牛羊肉精深加工及预制菜生产建设项目</w:t>
            </w:r>
            <w:r>
              <w:rPr>
                <w:rFonts w:hint="default" w:ascii="Times New Roman" w:hAnsi="Times New Roman" w:eastAsia="仿宋_GB2312" w:cs="Times New Roman"/>
                <w:i w:val="0"/>
                <w:iCs w:val="0"/>
                <w:color w:val="000000"/>
                <w:kern w:val="0"/>
                <w:sz w:val="18"/>
                <w:szCs w:val="18"/>
                <w:u w:val="none"/>
                <w:lang w:val="en-US" w:eastAsia="zh-CN" w:bidi="ar"/>
              </w:rPr>
              <w:t>，</w:t>
            </w:r>
            <w:r>
              <w:rPr>
                <w:rFonts w:hint="default" w:ascii="Times New Roman" w:hAnsi="Times New Roman" w:eastAsia="仿宋_GB2312" w:cs="Times New Roman"/>
                <w:i w:val="0"/>
                <w:iCs w:val="0"/>
                <w:color w:val="000000"/>
                <w:kern w:val="0"/>
                <w:sz w:val="18"/>
                <w:szCs w:val="18"/>
                <w:u w:val="none"/>
                <w:lang w:val="en-US" w:eastAsia="zh-CN" w:bidi="ar"/>
              </w:rPr>
              <w:t>规划用地面积15000平方米</w:t>
            </w:r>
            <w:r>
              <w:rPr>
                <w:rFonts w:hint="default" w:ascii="Times New Roman" w:hAnsi="Times New Roman" w:eastAsia="仿宋_GB2312" w:cs="Times New Roman"/>
                <w:i w:val="0"/>
                <w:iCs w:val="0"/>
                <w:color w:val="000000"/>
                <w:kern w:val="0"/>
                <w:sz w:val="18"/>
                <w:szCs w:val="18"/>
                <w:u w:val="none"/>
                <w:lang w:val="en-US" w:eastAsia="zh-CN" w:bidi="ar"/>
              </w:rPr>
              <w:t>。</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5E57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企业投资</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2513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4000</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5819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2027</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0A57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p>
        </w:tc>
      </w:tr>
      <w:tr w14:paraId="62AAF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9"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D330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12</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EB44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鄂托克前旗萝卜精深加工项目</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99CD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打造集原料预处理、精深加工、成品仓储、品牌营销于一体的现代化加工项目，延伸农产品产业链。</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D08B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企业投资</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2D77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3000</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4440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2027-2028</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B940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p>
        </w:tc>
      </w:tr>
      <w:tr w14:paraId="54CB4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39"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4A4D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13</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5382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鄂托克前旗辣椒精深加工项目</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DF88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规划建设生产车间、常温/冷藏库房、产品检验检测中心、产品展厅、办公大楼及停车场，总建筑面积通常达20000平方米以上。</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3994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企业投资</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1B88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3000</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7810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2027-2028</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5B22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p>
        </w:tc>
      </w:tr>
      <w:tr w14:paraId="6E680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7"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7049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14</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AF6E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鄂托克前旗国家现代农业产业园项目</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CAF8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1.</w:t>
            </w:r>
            <w:r>
              <w:rPr>
                <w:rFonts w:hint="default" w:ascii="Times New Roman" w:hAnsi="Times New Roman" w:eastAsia="仿宋_GB2312" w:cs="Times New Roman"/>
                <w:i w:val="0"/>
                <w:iCs w:val="0"/>
                <w:color w:val="000000"/>
                <w:kern w:val="0"/>
                <w:sz w:val="18"/>
                <w:szCs w:val="18"/>
                <w:u w:val="none"/>
                <w:lang w:val="en-US" w:eastAsia="zh-CN" w:bidi="ar"/>
              </w:rPr>
              <w:t>高水效智慧农业研究中心建设、示范基地建设、资源整合应用。</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D33C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政府</w:t>
            </w:r>
            <w:r>
              <w:rPr>
                <w:rFonts w:hint="default" w:ascii="Times New Roman" w:hAnsi="Times New Roman" w:eastAsia="仿宋_GB2312" w:cs="Times New Roman"/>
                <w:i w:val="0"/>
                <w:iCs w:val="0"/>
                <w:color w:val="000000"/>
                <w:kern w:val="0"/>
                <w:sz w:val="18"/>
                <w:szCs w:val="18"/>
                <w:u w:val="none"/>
                <w:lang w:val="en-US" w:eastAsia="zh-CN" w:bidi="ar"/>
              </w:rPr>
              <w:t>+</w:t>
            </w:r>
            <w:r>
              <w:rPr>
                <w:rFonts w:hint="default" w:ascii="Times New Roman" w:hAnsi="Times New Roman" w:eastAsia="仿宋_GB2312" w:cs="Times New Roman"/>
                <w:i w:val="0"/>
                <w:iCs w:val="0"/>
                <w:color w:val="000000"/>
                <w:kern w:val="0"/>
                <w:sz w:val="18"/>
                <w:szCs w:val="18"/>
                <w:u w:val="none"/>
                <w:lang w:val="en-US" w:eastAsia="zh-CN" w:bidi="ar"/>
              </w:rPr>
              <w:t>企业投资</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42C0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12000</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D83D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2028-2030</w:t>
            </w:r>
          </w:p>
        </w:tc>
        <w:tc>
          <w:tcPr>
            <w:tcW w:w="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DEB2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p>
        </w:tc>
      </w:tr>
    </w:tbl>
    <w:p w14:paraId="23176F3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kern w:val="0"/>
          <w:sz w:val="32"/>
          <w:szCs w:val="32"/>
          <w:lang w:val="en-US" w:eastAsia="zh-CN" w:bidi="ar-SA"/>
        </w:rPr>
      </w:pPr>
    </w:p>
    <w:p w14:paraId="71A4ECF8">
      <w:pPr>
        <w:rPr>
          <w:rFonts w:hint="default" w:ascii="Times New Roman" w:hAnsi="Times New Roman" w:eastAsia="方正小标宋简体" w:cs="Times New Roman"/>
          <w:color w:val="auto"/>
          <w:kern w:val="2"/>
          <w:sz w:val="44"/>
          <w:szCs w:val="36"/>
          <w:highlight w:val="none"/>
          <w:lang w:val="en-US" w:eastAsia="zh-CN" w:bidi="ar-SA"/>
        </w:rPr>
      </w:pPr>
      <w:r>
        <w:rPr>
          <w:rFonts w:hint="default" w:ascii="Times New Roman" w:hAnsi="Times New Roman" w:eastAsia="方正小标宋简体" w:cs="Times New Roman"/>
          <w:color w:val="auto"/>
          <w:kern w:val="2"/>
          <w:sz w:val="44"/>
          <w:szCs w:val="36"/>
          <w:highlight w:val="none"/>
          <w:lang w:val="en-US" w:eastAsia="zh-CN" w:bidi="ar-SA"/>
        </w:rPr>
        <w:br w:type="page"/>
      </w:r>
    </w:p>
    <w:p w14:paraId="37836F04">
      <w:pPr>
        <w:keepNext w:val="0"/>
        <w:keepLines w:val="0"/>
        <w:pageBreakBefore w:val="0"/>
        <w:widowControl w:val="0"/>
        <w:kinsoku/>
        <w:wordWrap/>
        <w:overflowPunct/>
        <w:topLinePunct w:val="0"/>
        <w:autoSpaceDE/>
        <w:autoSpaceDN/>
        <w:bidi w:val="0"/>
        <w:adjustRightInd/>
        <w:snapToGrid/>
        <w:spacing w:line="556" w:lineRule="exact"/>
        <w:jc w:val="center"/>
        <w:textAlignment w:val="auto"/>
        <w:rPr>
          <w:rFonts w:hint="default" w:ascii="Times New Roman" w:hAnsi="Times New Roman" w:eastAsia="方正小标宋简体" w:cs="Times New Roman"/>
          <w:kern w:val="2"/>
          <w:sz w:val="44"/>
          <w:szCs w:val="36"/>
          <w:highlight w:val="none"/>
          <w:lang w:val="en-US" w:eastAsia="zh-CN" w:bidi="ar-SA"/>
        </w:rPr>
      </w:pPr>
      <w:r>
        <w:rPr>
          <w:rFonts w:hint="default" w:ascii="Times New Roman" w:hAnsi="Times New Roman" w:eastAsia="方正小标宋简体" w:cs="Times New Roman"/>
          <w:kern w:val="2"/>
          <w:sz w:val="44"/>
          <w:szCs w:val="36"/>
          <w:highlight w:val="none"/>
          <w:lang w:val="en-US" w:eastAsia="zh-CN" w:bidi="ar-SA"/>
        </w:rPr>
        <w:t>鄂托克前旗农牧业品牌化发展行动方案</w:t>
      </w:r>
    </w:p>
    <w:p w14:paraId="3F70E75B">
      <w:pPr>
        <w:keepNext w:val="0"/>
        <w:keepLines w:val="0"/>
        <w:pageBreakBefore w:val="0"/>
        <w:widowControl w:val="0"/>
        <w:kinsoku/>
        <w:wordWrap/>
        <w:overflowPunct/>
        <w:topLinePunct w:val="0"/>
        <w:autoSpaceDE/>
        <w:autoSpaceDN/>
        <w:bidi w:val="0"/>
        <w:adjustRightInd/>
        <w:snapToGrid/>
        <w:spacing w:line="556" w:lineRule="exact"/>
        <w:jc w:val="center"/>
        <w:textAlignment w:val="auto"/>
        <w:rPr>
          <w:rFonts w:hint="default" w:ascii="Times New Roman" w:hAnsi="Times New Roman" w:eastAsia="方正小标宋简体" w:cs="Times New Roman"/>
          <w:kern w:val="2"/>
          <w:sz w:val="44"/>
          <w:szCs w:val="36"/>
          <w:highlight w:val="none"/>
          <w:lang w:val="en-US" w:eastAsia="zh-CN" w:bidi="ar-SA"/>
        </w:rPr>
      </w:pPr>
      <w:r>
        <w:rPr>
          <w:rFonts w:hint="default" w:ascii="Times New Roman" w:hAnsi="Times New Roman" w:eastAsia="方正小标宋简体" w:cs="Times New Roman"/>
          <w:kern w:val="2"/>
          <w:sz w:val="44"/>
          <w:szCs w:val="36"/>
          <w:highlight w:val="none"/>
          <w:lang w:val="en-US" w:eastAsia="zh-CN" w:bidi="ar-SA"/>
        </w:rPr>
        <w:t>（2025—2030年）</w:t>
      </w:r>
      <w:r>
        <w:rPr>
          <w:rFonts w:hint="default" w:ascii="Times New Roman" w:hAnsi="Times New Roman" w:eastAsia="方正小标宋简体" w:cs="Times New Roman"/>
          <w:sz w:val="44"/>
          <w:szCs w:val="44"/>
          <w:lang w:val="en-US" w:eastAsia="zh-CN"/>
        </w:rPr>
        <w:t>（征求意见稿）</w:t>
      </w:r>
    </w:p>
    <w:p w14:paraId="34A0A1CB">
      <w:pPr>
        <w:keepNext w:val="0"/>
        <w:keepLines w:val="0"/>
        <w:pageBreakBefore w:val="0"/>
        <w:widowControl w:val="0"/>
        <w:kinsoku/>
        <w:wordWrap/>
        <w:overflowPunct/>
        <w:topLinePunct w:val="0"/>
        <w:autoSpaceDE/>
        <w:autoSpaceDN/>
        <w:bidi w:val="0"/>
        <w:adjustRightInd/>
        <w:snapToGrid/>
        <w:spacing w:line="556" w:lineRule="exact"/>
        <w:jc w:val="left"/>
        <w:textAlignment w:val="auto"/>
        <w:rPr>
          <w:rFonts w:hint="default" w:ascii="Times New Roman" w:hAnsi="Times New Roman" w:eastAsia="方正小标宋简体" w:cs="Times New Roman"/>
          <w:kern w:val="2"/>
          <w:sz w:val="44"/>
          <w:szCs w:val="36"/>
          <w:highlight w:val="none"/>
          <w:lang w:val="en-US" w:eastAsia="zh-CN" w:bidi="ar-SA"/>
        </w:rPr>
      </w:pPr>
    </w:p>
    <w:p w14:paraId="3BA1D7AF">
      <w:pPr>
        <w:keepNext w:val="0"/>
        <w:keepLines w:val="0"/>
        <w:pageBreakBefore w:val="0"/>
        <w:widowControl w:val="0"/>
        <w:kinsoku/>
        <w:wordWrap/>
        <w:overflowPunct/>
        <w:topLinePunct w:val="0"/>
        <w:autoSpaceDE/>
        <w:autoSpaceDN/>
        <w:bidi w:val="0"/>
        <w:adjustRightInd/>
        <w:snapToGrid/>
        <w:spacing w:before="0" w:after="0" w:line="556" w:lineRule="exact"/>
        <w:ind w:left="0" w:leftChars="0" w:right="0" w:rightChars="0" w:firstLine="640" w:firstLineChars="20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为深入贯彻党的二十大精神，全面落实习近平总书记关于“三农”工作的重要论述，深入开展农业生产“</w:t>
      </w:r>
      <w:r>
        <w:rPr>
          <w:rFonts w:hint="default" w:ascii="Times New Roman" w:hAnsi="Times New Roman" w:eastAsia="仿宋_GB2312" w:cs="Times New Roman"/>
          <w:sz w:val="32"/>
          <w:szCs w:val="32"/>
          <w:lang w:val="en-US" w:eastAsia="zh-CN"/>
        </w:rPr>
        <w:t>二</w:t>
      </w:r>
      <w:r>
        <w:rPr>
          <w:rFonts w:hint="default" w:ascii="Times New Roman" w:hAnsi="Times New Roman" w:eastAsia="仿宋_GB2312" w:cs="Times New Roman"/>
          <w:sz w:val="32"/>
          <w:szCs w:val="32"/>
          <w:lang w:val="en-US" w:eastAsia="zh-CN"/>
        </w:rPr>
        <w:t>品一标”提升行动，聚焦建设国家重要农畜产品生产基地和全市一产重塑要求，</w:t>
      </w:r>
      <w:r>
        <w:rPr>
          <w:rFonts w:hint="default" w:ascii="Times New Roman" w:hAnsi="Times New Roman" w:eastAsia="仿宋_GB2312" w:cs="Times New Roman"/>
          <w:sz w:val="32"/>
          <w:szCs w:val="32"/>
          <w:lang w:val="en-US" w:eastAsia="zh-CN"/>
        </w:rPr>
        <w:t>培育</w:t>
      </w:r>
      <w:r>
        <w:rPr>
          <w:rFonts w:hint="default" w:ascii="Times New Roman" w:hAnsi="Times New Roman" w:eastAsia="仿宋_GB2312" w:cs="Times New Roman"/>
          <w:sz w:val="32"/>
          <w:szCs w:val="32"/>
          <w:lang w:val="en-US" w:eastAsia="zh-CN"/>
        </w:rPr>
        <w:t>一批农畜产品品牌，保护地理标志农畜产品，形成标准化生产、产业化运营、品牌化营销的现代农牧业新格局</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结合实际，制定本方案。</w:t>
      </w:r>
    </w:p>
    <w:p w14:paraId="11E55E3C">
      <w:pPr>
        <w:keepNext w:val="0"/>
        <w:keepLines w:val="0"/>
        <w:pageBreakBefore w:val="0"/>
        <w:widowControl w:val="0"/>
        <w:numPr>
          <w:ilvl w:val="0"/>
          <w:numId w:val="0"/>
        </w:numPr>
        <w:kinsoku/>
        <w:wordWrap/>
        <w:overflowPunct/>
        <w:topLinePunct w:val="0"/>
        <w:autoSpaceDE/>
        <w:autoSpaceDN/>
        <w:bidi w:val="0"/>
        <w:adjustRightInd/>
        <w:snapToGrid/>
        <w:spacing w:line="556" w:lineRule="exact"/>
        <w:ind w:firstLine="640" w:firstLineChars="200"/>
        <w:jc w:val="left"/>
        <w:textAlignment w:val="auto"/>
        <w:rPr>
          <w:rFonts w:hint="default" w:ascii="Times New Roman" w:hAnsi="Times New Roman" w:eastAsia="黑体" w:cs="Times New Roman"/>
          <w:b w:val="0"/>
          <w:bCs w:val="0"/>
          <w:sz w:val="32"/>
          <w:highlight w:val="none"/>
        </w:rPr>
      </w:pPr>
      <w:r>
        <w:rPr>
          <w:rFonts w:hint="default" w:ascii="Times New Roman" w:hAnsi="Times New Roman" w:eastAsia="黑体" w:cs="Times New Roman"/>
          <w:b w:val="0"/>
          <w:bCs w:val="0"/>
          <w:sz w:val="32"/>
          <w:highlight w:val="none"/>
        </w:rPr>
        <w:t>一、总体思路</w:t>
      </w:r>
    </w:p>
    <w:p w14:paraId="7819B433">
      <w:pPr>
        <w:keepNext w:val="0"/>
        <w:keepLines w:val="0"/>
        <w:pageBreakBefore w:val="0"/>
        <w:widowControl w:val="0"/>
        <w:numPr>
          <w:ilvl w:val="0"/>
          <w:numId w:val="0"/>
        </w:numPr>
        <w:kinsoku/>
        <w:wordWrap/>
        <w:overflowPunct/>
        <w:topLinePunct w:val="0"/>
        <w:autoSpaceDE/>
        <w:autoSpaceDN/>
        <w:bidi w:val="0"/>
        <w:adjustRightInd/>
        <w:snapToGrid/>
        <w:spacing w:line="556" w:lineRule="exact"/>
        <w:ind w:firstLine="640" w:firstLineChars="200"/>
        <w:jc w:val="left"/>
        <w:textAlignment w:val="auto"/>
        <w:rPr>
          <w:rFonts w:hint="default" w:ascii="Times New Roman" w:hAnsi="Times New Roman" w:eastAsia="仿宋_GB2312" w:cs="Times New Roman"/>
          <w:sz w:val="32"/>
          <w:szCs w:val="32"/>
          <w:highlight w:val="yellow"/>
          <w:lang w:val="en-US" w:eastAsia="zh-CN"/>
        </w:rPr>
      </w:pPr>
      <w:r>
        <w:rPr>
          <w:rFonts w:hint="default" w:ascii="Times New Roman" w:hAnsi="Times New Roman" w:eastAsia="仿宋_GB2312" w:cs="Times New Roman"/>
          <w:sz w:val="32"/>
          <w:szCs w:val="32"/>
          <w:lang w:val="en-US" w:eastAsia="zh-CN"/>
        </w:rPr>
        <w:t>立足农牧业资源禀赋和产业基础，坚持市场导向、质量为本、创新驱动、绿色发展的原则，以品牌建设为引领，强化农牧业品牌培育、管理和保护，</w:t>
      </w:r>
      <w:r>
        <w:rPr>
          <w:rFonts w:hint="default" w:ascii="Times New Roman" w:hAnsi="Times New Roman" w:eastAsia="仿宋_GB2312" w:cs="Times New Roman"/>
          <w:sz w:val="32"/>
          <w:szCs w:val="32"/>
          <w:lang w:val="en-US" w:eastAsia="zh-CN"/>
        </w:rPr>
        <w:t>通过整合资源、创新机制、加强市场营销等措施，</w:t>
      </w:r>
      <w:r>
        <w:rPr>
          <w:rFonts w:hint="default" w:ascii="Times New Roman" w:hAnsi="Times New Roman" w:eastAsia="仿宋_GB2312" w:cs="Times New Roman"/>
          <w:sz w:val="32"/>
        </w:rPr>
        <w:t>推进“蒙字标”认证，融入“暖城多味”区域公用品牌</w:t>
      </w:r>
      <w:r>
        <w:rPr>
          <w:rFonts w:hint="default" w:ascii="Times New Roman" w:hAnsi="Times New Roman" w:eastAsia="仿宋_GB2312" w:cs="Times New Roman"/>
          <w:sz w:val="32"/>
          <w:lang w:eastAsia="zh-CN"/>
        </w:rPr>
        <w:t>，建立“草原村排</w:t>
      </w:r>
      <w:r>
        <w:rPr>
          <w:rFonts w:hint="default" w:ascii="Times New Roman" w:hAnsi="Times New Roman" w:eastAsia="仿宋_GB2312" w:cs="Times New Roman"/>
          <w:sz w:val="32"/>
          <w:lang w:val="en-US" w:eastAsia="zh-CN"/>
        </w:rPr>
        <w:t>+</w:t>
      </w:r>
      <w:r>
        <w:rPr>
          <w:rFonts w:hint="default" w:ascii="Times New Roman" w:hAnsi="Times New Roman" w:eastAsia="仿宋_GB2312" w:cs="Times New Roman"/>
          <w:sz w:val="32"/>
          <w:lang w:eastAsia="zh-CN"/>
        </w:rPr>
        <w:t>”农畜产品销售体系和品牌培育体系，</w:t>
      </w:r>
      <w:r>
        <w:rPr>
          <w:rFonts w:hint="default" w:ascii="Times New Roman" w:hAnsi="Times New Roman" w:eastAsia="仿宋_GB2312" w:cs="Times New Roman"/>
          <w:sz w:val="32"/>
          <w:szCs w:val="32"/>
          <w:lang w:val="en-US" w:eastAsia="zh-CN"/>
        </w:rPr>
        <w:t>打造一批具有地域特色、品质优良、市场竞争力强的农牧业品牌</w:t>
      </w:r>
      <w:r>
        <w:rPr>
          <w:rFonts w:hint="default" w:ascii="Times New Roman" w:hAnsi="Times New Roman" w:eastAsia="仿宋_GB2312" w:cs="Times New Roman"/>
          <w:sz w:val="32"/>
          <w:lang w:val="en-US" w:eastAsia="zh-CN"/>
        </w:rPr>
        <w:t>，2025年，认证绿色、有机产品6个，认证名特优新2个，研发新产品10款，建设国内体验店10家。到2030年，绿色有机产品数量稳步增长，销售网络进一步拓展，区域农畜产品品牌价值显著跃升，核心产品市场溢价能力大幅提升，实现农畜产品品质与品牌、价值与收入同步增长。</w:t>
      </w:r>
    </w:p>
    <w:p w14:paraId="01B442A9">
      <w:pPr>
        <w:keepNext w:val="0"/>
        <w:keepLines w:val="0"/>
        <w:pageBreakBefore w:val="0"/>
        <w:widowControl w:val="0"/>
        <w:numPr>
          <w:ilvl w:val="0"/>
          <w:numId w:val="0"/>
        </w:numPr>
        <w:kinsoku/>
        <w:wordWrap/>
        <w:overflowPunct/>
        <w:topLinePunct w:val="0"/>
        <w:autoSpaceDE/>
        <w:autoSpaceDN/>
        <w:bidi w:val="0"/>
        <w:adjustRightInd/>
        <w:snapToGrid/>
        <w:spacing w:line="556" w:lineRule="exact"/>
        <w:ind w:firstLine="640" w:firstLineChars="200"/>
        <w:jc w:val="left"/>
        <w:textAlignment w:val="auto"/>
        <w:rPr>
          <w:rFonts w:hint="default" w:ascii="Times New Roman" w:hAnsi="Times New Roman" w:eastAsia="黑体" w:cs="Times New Roman"/>
          <w:b w:val="0"/>
          <w:bCs w:val="0"/>
          <w:sz w:val="32"/>
          <w:highlight w:val="none"/>
        </w:rPr>
      </w:pPr>
      <w:r>
        <w:rPr>
          <w:rFonts w:hint="default" w:ascii="Times New Roman" w:hAnsi="Times New Roman" w:eastAsia="黑体" w:cs="Times New Roman"/>
          <w:b w:val="0"/>
          <w:bCs w:val="0"/>
          <w:sz w:val="32"/>
          <w:highlight w:val="none"/>
          <w:lang w:val="en-US" w:eastAsia="zh-CN"/>
        </w:rPr>
        <w:t>二</w:t>
      </w:r>
      <w:r>
        <w:rPr>
          <w:rFonts w:hint="default" w:ascii="Times New Roman" w:hAnsi="Times New Roman" w:eastAsia="黑体" w:cs="Times New Roman"/>
          <w:b w:val="0"/>
          <w:bCs w:val="0"/>
          <w:sz w:val="32"/>
          <w:highlight w:val="none"/>
        </w:rPr>
        <w:t>、重点任务</w:t>
      </w:r>
    </w:p>
    <w:p w14:paraId="506CBD4F">
      <w:pPr>
        <w:keepNext w:val="0"/>
        <w:keepLines w:val="0"/>
        <w:pageBreakBefore w:val="0"/>
        <w:widowControl w:val="0"/>
        <w:numPr>
          <w:ilvl w:val="0"/>
          <w:numId w:val="0"/>
        </w:numPr>
        <w:kinsoku/>
        <w:wordWrap/>
        <w:overflowPunct/>
        <w:topLinePunct w:val="0"/>
        <w:autoSpaceDE/>
        <w:autoSpaceDN/>
        <w:bidi w:val="0"/>
        <w:adjustRightInd/>
        <w:snapToGrid/>
        <w:spacing w:line="556" w:lineRule="exact"/>
        <w:ind w:firstLine="643" w:firstLineChars="200"/>
        <w:jc w:val="left"/>
        <w:textAlignment w:val="auto"/>
        <w:rPr>
          <w:rFonts w:hint="default" w:ascii="Times New Roman" w:hAnsi="Times New Roman" w:eastAsia="仿宋_GB2312" w:cs="Times New Roman"/>
          <w:strike/>
          <w:dstrike w:val="0"/>
          <w:kern w:val="0"/>
          <w:sz w:val="32"/>
          <w:szCs w:val="32"/>
          <w:highlight w:val="none"/>
          <w:lang w:val="en-US" w:eastAsia="zh-CN"/>
        </w:rPr>
      </w:pPr>
      <w:r>
        <w:rPr>
          <w:rFonts w:hint="default" w:ascii="Times New Roman" w:hAnsi="Times New Roman" w:eastAsia="楷体_GB2312" w:cs="Times New Roman"/>
          <w:b/>
          <w:bCs/>
          <w:sz w:val="32"/>
          <w:highlight w:val="none"/>
        </w:rPr>
        <w:t>（一）</w:t>
      </w:r>
      <w:r>
        <w:rPr>
          <w:rFonts w:hint="default" w:ascii="Times New Roman" w:hAnsi="Times New Roman" w:eastAsia="楷体_GB2312" w:cs="Times New Roman"/>
          <w:b/>
          <w:bCs/>
          <w:sz w:val="32"/>
          <w:highlight w:val="none"/>
          <w:lang w:val="en-US" w:eastAsia="zh-CN"/>
        </w:rPr>
        <w:t>打造特色农畜产品品牌</w:t>
      </w:r>
    </w:p>
    <w:p w14:paraId="5D4B84A2">
      <w:pPr>
        <w:keepNext w:val="0"/>
        <w:keepLines w:val="0"/>
        <w:pageBreakBefore w:val="0"/>
        <w:widowControl w:val="0"/>
        <w:kinsoku/>
        <w:wordWrap/>
        <w:overflowPunct/>
        <w:topLinePunct w:val="0"/>
        <w:autoSpaceDE/>
        <w:autoSpaceDN/>
        <w:bidi w:val="0"/>
        <w:adjustRightInd/>
        <w:snapToGrid/>
        <w:spacing w:line="556" w:lineRule="exact"/>
        <w:ind w:firstLine="643" w:firstLineChars="200"/>
        <w:jc w:val="left"/>
        <w:textAlignment w:val="auto"/>
        <w:rPr>
          <w:rFonts w:hint="default" w:ascii="Times New Roman" w:hAnsi="Times New Roman" w:cs="Times New Roman"/>
          <w:lang w:val="en-US" w:eastAsia="zh-CN"/>
        </w:rPr>
      </w:pPr>
      <w:r>
        <w:rPr>
          <w:rFonts w:hint="default" w:ascii="Times New Roman" w:hAnsi="Times New Roman" w:eastAsia="仿宋_GB2312" w:cs="Times New Roman"/>
          <w:b/>
          <w:bCs/>
          <w:kern w:val="0"/>
          <w:sz w:val="32"/>
          <w:szCs w:val="32"/>
          <w:highlight w:val="none"/>
          <w:lang w:val="en-US" w:eastAsia="zh-CN"/>
        </w:rPr>
        <w:t>1.实施品牌培优行动</w:t>
      </w:r>
      <w:r>
        <w:rPr>
          <w:rFonts w:hint="default" w:ascii="Times New Roman" w:hAnsi="Times New Roman" w:eastAsia="仿宋_GB2312" w:cs="Times New Roman"/>
          <w:b/>
          <w:bCs/>
          <w:kern w:val="0"/>
          <w:sz w:val="32"/>
          <w:szCs w:val="32"/>
          <w:highlight w:val="none"/>
          <w:lang w:val="en-US" w:eastAsia="zh-CN"/>
        </w:rPr>
        <w:t>。</w:t>
      </w:r>
      <w:r>
        <w:rPr>
          <w:rFonts w:hint="default" w:ascii="Times New Roman" w:hAnsi="Times New Roman" w:eastAsia="仿宋_GB2312" w:cs="Times New Roman"/>
          <w:sz w:val="32"/>
          <w:lang w:val="en-US" w:eastAsia="zh-CN"/>
        </w:rPr>
        <w:t>以国家地理标志产品“鄂托克前旗羊肉”为核心，巩固其高端市场引领地位，重点培育“塞北五星”牛肉和“城川”辣椒2个区域公用品牌，构建“羊、牛、椒”三大支柱协同发展的品牌主体架构。同步推动香菇、萝卜、西瓜、土鸡、乳制品、小杂粮等特色品牌打造，并纳入“鄂前旗甄选”品牌矩阵，实施标准化改造与品牌化提升，形成“公用品牌+企业品牌+产品品牌”的联动体系，全面满足多层次、多元化消费需求，增强整体市场竞争力。围绕</w:t>
      </w:r>
      <w:r>
        <w:rPr>
          <w:rFonts w:hint="default" w:ascii="Times New Roman" w:hAnsi="Times New Roman" w:eastAsia="仿宋_GB2312" w:cs="Times New Roman"/>
          <w:kern w:val="0"/>
          <w:sz w:val="32"/>
          <w:szCs w:val="32"/>
          <w:lang w:val="en-US" w:eastAsia="zh-CN"/>
        </w:rPr>
        <w:t>羊肉产业，充分挖掘农牧业历史文化，讲好品牌故事，创新市场营销，支持企业进行产品开发和市场开拓，形成鄂前旗羊肉完成的叙事链，大力提升现有区域公用品牌产业化聚集效应。</w:t>
      </w:r>
    </w:p>
    <w:p w14:paraId="2B7882CE">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left"/>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2.实施品牌培育行动。着力推进牛肉品牌建设，围绕“净”字做文章、树形象，形成政府、企业、农牧民协调发力的品牌培育氛围，开展牛肉品牌商标注册工作。</w:t>
      </w:r>
    </w:p>
    <w:p w14:paraId="5D833869">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left"/>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实施“两品一标”增量行动。加力开展绿色、有机和地理标志农产品培育发展，支持企业、家庭农牧场开展绿色有机食品认证，打造一批绿色优质农畜产品品牌。开展民族地区品牌帮扶，聚焦特色产业，培育特色农产品品牌</w:t>
      </w:r>
      <w:r>
        <w:rPr>
          <w:rFonts w:hint="default" w:ascii="Times New Roman" w:hAnsi="Times New Roman" w:eastAsia="仿宋_GB2312" w:cs="Times New Roman"/>
          <w:sz w:val="32"/>
          <w:lang w:val="en-US" w:eastAsia="zh-CN"/>
        </w:rPr>
        <w:t>。2025年，</w:t>
      </w:r>
      <w:r>
        <w:rPr>
          <w:rFonts w:hint="default" w:ascii="Times New Roman" w:hAnsi="Times New Roman" w:eastAsia="仿宋_GB2312" w:cs="Times New Roman"/>
          <w:sz w:val="32"/>
          <w:lang w:val="en-US" w:eastAsia="zh-CN"/>
        </w:rPr>
        <w:t>新认证绿色、有机产品6个、名特优新产品2个</w:t>
      </w:r>
      <w:r>
        <w:rPr>
          <w:rFonts w:hint="default" w:ascii="Times New Roman" w:hAnsi="Times New Roman" w:eastAsia="仿宋_GB2312" w:cs="Times New Roman"/>
          <w:sz w:val="32"/>
          <w:lang w:val="en-US" w:eastAsia="zh-CN"/>
        </w:rPr>
        <w:t>，到2030年，累计认证绿色、有机产品20个、名特优新产品5个</w:t>
      </w:r>
      <w:r>
        <w:rPr>
          <w:rFonts w:hint="default" w:ascii="Times New Roman" w:hAnsi="Times New Roman" w:eastAsia="仿宋_GB2312" w:cs="Times New Roman"/>
          <w:sz w:val="32"/>
          <w:lang w:val="en-US" w:eastAsia="zh-CN"/>
        </w:rPr>
        <w:t>。</w:t>
      </w:r>
    </w:p>
    <w:p w14:paraId="6FF94F09">
      <w:pPr>
        <w:keepNext w:val="0"/>
        <w:keepLines w:val="0"/>
        <w:pageBreakBefore w:val="0"/>
        <w:widowControl w:val="0"/>
        <w:numPr>
          <w:ilvl w:val="0"/>
          <w:numId w:val="0"/>
        </w:numPr>
        <w:kinsoku/>
        <w:wordWrap/>
        <w:overflowPunct/>
        <w:topLinePunct w:val="0"/>
        <w:autoSpaceDE/>
        <w:autoSpaceDN/>
        <w:bidi w:val="0"/>
        <w:adjustRightInd/>
        <w:snapToGrid/>
        <w:spacing w:line="556" w:lineRule="exact"/>
        <w:ind w:firstLine="643" w:firstLineChars="200"/>
        <w:jc w:val="left"/>
        <w:textAlignment w:val="auto"/>
        <w:rPr>
          <w:rFonts w:hint="default" w:ascii="Times New Roman" w:hAnsi="Times New Roman" w:eastAsia="楷体_GB2312" w:cs="Times New Roman"/>
          <w:b/>
          <w:bCs/>
          <w:sz w:val="32"/>
          <w:highlight w:val="none"/>
          <w:lang w:val="en-US" w:eastAsia="zh-CN"/>
        </w:rPr>
      </w:pPr>
      <w:r>
        <w:rPr>
          <w:rFonts w:hint="default" w:ascii="Times New Roman" w:hAnsi="Times New Roman" w:eastAsia="楷体_GB2312" w:cs="Times New Roman"/>
          <w:b/>
          <w:bCs/>
          <w:sz w:val="32"/>
          <w:highlight w:val="none"/>
          <w:lang w:eastAsia="zh-CN"/>
        </w:rPr>
        <w:t>（二）</w:t>
      </w:r>
      <w:r>
        <w:rPr>
          <w:rFonts w:hint="default" w:ascii="Times New Roman" w:hAnsi="Times New Roman" w:eastAsia="楷体_GB2312" w:cs="Times New Roman"/>
          <w:b/>
          <w:bCs/>
          <w:sz w:val="32"/>
          <w:highlight w:val="none"/>
          <w:lang w:val="en-US" w:eastAsia="zh-CN"/>
        </w:rPr>
        <w:t>强化农畜产品品牌</w:t>
      </w:r>
      <w:r>
        <w:rPr>
          <w:rFonts w:hint="default" w:ascii="Times New Roman" w:hAnsi="Times New Roman" w:eastAsia="楷体_GB2312" w:cs="Times New Roman"/>
          <w:b/>
          <w:bCs/>
          <w:sz w:val="32"/>
          <w:highlight w:val="none"/>
          <w:lang w:val="en-US" w:eastAsia="zh-CN"/>
        </w:rPr>
        <w:t>管理</w:t>
      </w:r>
    </w:p>
    <w:p w14:paraId="2CFEB7C3">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left"/>
        <w:textAlignment w:val="auto"/>
        <w:rPr>
          <w:rFonts w:hint="default" w:ascii="Times New Roman" w:hAnsi="Times New Roman" w:eastAsia="仿宋_GB2312" w:cs="Times New Roman"/>
          <w:strike w:val="0"/>
          <w:kern w:val="0"/>
          <w:sz w:val="32"/>
          <w:szCs w:val="32"/>
          <w:lang w:val="en-US" w:eastAsia="zh-CN"/>
        </w:rPr>
      </w:pPr>
      <w:r>
        <w:rPr>
          <w:rFonts w:hint="default" w:ascii="Times New Roman" w:hAnsi="Times New Roman" w:eastAsia="仿宋_GB2312" w:cs="Times New Roman"/>
          <w:strike w:val="0"/>
          <w:dstrike w:val="0"/>
          <w:kern w:val="0"/>
          <w:sz w:val="32"/>
          <w:szCs w:val="32"/>
          <w:lang w:val="en-US" w:eastAsia="zh-CN"/>
        </w:rPr>
        <w:t>4</w:t>
      </w:r>
      <w:r>
        <w:rPr>
          <w:rFonts w:hint="default" w:ascii="Times New Roman" w:hAnsi="Times New Roman" w:eastAsia="仿宋_GB2312" w:cs="Times New Roman"/>
          <w:strike w:val="0"/>
          <w:dstrike w:val="0"/>
          <w:kern w:val="0"/>
          <w:sz w:val="32"/>
          <w:szCs w:val="32"/>
          <w:lang w:val="en-US" w:eastAsia="zh-CN"/>
        </w:rPr>
        <w:t>.加强品牌管理。继续完善“鄂托克前旗羊肉”区域公用品牌管理办法及相关制度，规范商标标识和国家地理标志专用标志使用，严格品牌授权及使用管理。实施动态管理</w:t>
      </w:r>
      <w:r>
        <w:rPr>
          <w:rFonts w:hint="default" w:ascii="Times New Roman" w:hAnsi="Times New Roman" w:eastAsia="仿宋_GB2312" w:cs="Times New Roman"/>
          <w:strike w:val="0"/>
          <w:dstrike w:val="0"/>
          <w:kern w:val="0"/>
          <w:sz w:val="32"/>
          <w:szCs w:val="32"/>
          <w:lang w:val="en-US" w:eastAsia="zh-CN"/>
        </w:rPr>
        <w:t>，</w:t>
      </w:r>
      <w:r>
        <w:rPr>
          <w:rFonts w:hint="default" w:ascii="Times New Roman" w:hAnsi="Times New Roman" w:eastAsia="仿宋_GB2312" w:cs="Times New Roman"/>
          <w:strike w:val="0"/>
          <w:dstrike w:val="0"/>
          <w:kern w:val="0"/>
          <w:sz w:val="32"/>
          <w:szCs w:val="32"/>
          <w:lang w:val="en-US" w:eastAsia="zh-CN"/>
        </w:rPr>
        <w:t>不断完善“鄂托克前旗羊肉”品牌培育、管理、保护机制。</w:t>
      </w:r>
    </w:p>
    <w:p w14:paraId="1A3E2E72">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left"/>
        <w:textAlignment w:val="auto"/>
        <w:rPr>
          <w:rFonts w:hint="default" w:ascii="Times New Roman" w:hAnsi="Times New Roman" w:eastAsia="仿宋_GB2312" w:cs="Times New Roman"/>
          <w:strike w:val="0"/>
          <w:kern w:val="0"/>
          <w:sz w:val="32"/>
          <w:szCs w:val="32"/>
          <w:lang w:val="en-US" w:eastAsia="zh-CN"/>
        </w:rPr>
      </w:pPr>
      <w:r>
        <w:rPr>
          <w:rFonts w:hint="default" w:ascii="Times New Roman" w:hAnsi="Times New Roman" w:eastAsia="仿宋_GB2312" w:cs="Times New Roman"/>
          <w:strike w:val="0"/>
          <w:dstrike w:val="0"/>
          <w:kern w:val="0"/>
          <w:sz w:val="32"/>
          <w:szCs w:val="32"/>
          <w:lang w:val="en-US" w:eastAsia="zh-CN"/>
        </w:rPr>
        <w:t>5.加强品牌使用。组织实施“三个一”品牌建设工程，即“优化一个产品LOGO、塑造一个卡通形象、设计一款精品包装”，优化两个品牌的标识体系、标语体系和传播体系，建立统一的品牌形象识别系统，要求授权使用的农牧业龙头企业、合作社、家庭牧场等在包装上统一的区域公用品牌标准。</w:t>
      </w:r>
    </w:p>
    <w:p w14:paraId="0E46B819">
      <w:pPr>
        <w:keepNext w:val="0"/>
        <w:keepLines w:val="0"/>
        <w:pageBreakBefore w:val="0"/>
        <w:widowControl w:val="0"/>
        <w:kinsoku/>
        <w:wordWrap/>
        <w:overflowPunct/>
        <w:topLinePunct w:val="0"/>
        <w:autoSpaceDE/>
        <w:autoSpaceDN/>
        <w:bidi w:val="0"/>
        <w:adjustRightInd/>
        <w:snapToGrid/>
        <w:spacing w:line="556" w:lineRule="exact"/>
        <w:ind w:firstLine="643" w:firstLineChars="200"/>
        <w:jc w:val="left"/>
        <w:textAlignment w:val="auto"/>
        <w:rPr>
          <w:rFonts w:hint="default" w:ascii="Times New Roman" w:hAnsi="Times New Roman" w:eastAsia="楷体_GB2312" w:cs="Times New Roman"/>
          <w:b/>
          <w:bCs/>
          <w:sz w:val="32"/>
          <w:highlight w:val="none"/>
          <w:lang w:val="en-US" w:eastAsia="zh-CN"/>
        </w:rPr>
      </w:pPr>
      <w:r>
        <w:rPr>
          <w:rFonts w:hint="default" w:ascii="Times New Roman" w:hAnsi="Times New Roman" w:eastAsia="楷体_GB2312" w:cs="Times New Roman"/>
          <w:b/>
          <w:bCs/>
          <w:sz w:val="32"/>
          <w:highlight w:val="none"/>
          <w:lang w:val="en-US" w:eastAsia="zh-CN"/>
        </w:rPr>
        <w:t>（</w:t>
      </w:r>
      <w:r>
        <w:rPr>
          <w:rFonts w:hint="default" w:ascii="Times New Roman" w:hAnsi="Times New Roman" w:eastAsia="楷体_GB2312" w:cs="Times New Roman"/>
          <w:b/>
          <w:bCs/>
          <w:sz w:val="32"/>
          <w:highlight w:val="none"/>
          <w:lang w:val="en-US" w:eastAsia="zh-CN"/>
        </w:rPr>
        <w:t>三</w:t>
      </w:r>
      <w:r>
        <w:rPr>
          <w:rFonts w:hint="default" w:ascii="Times New Roman" w:hAnsi="Times New Roman" w:eastAsia="楷体_GB2312" w:cs="Times New Roman"/>
          <w:b/>
          <w:bCs/>
          <w:sz w:val="32"/>
          <w:highlight w:val="none"/>
          <w:lang w:val="en-US" w:eastAsia="zh-CN"/>
        </w:rPr>
        <w:t>）创新农畜产品开发</w:t>
      </w:r>
    </w:p>
    <w:p w14:paraId="254AF622">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left"/>
        <w:textAlignment w:val="auto"/>
        <w:rPr>
          <w:rFonts w:hint="default" w:ascii="Times New Roman" w:hAnsi="Times New Roman" w:eastAsia="仿宋_GB2312" w:cs="Times New Roman"/>
          <w:strike w:val="0"/>
          <w:dstrike w:val="0"/>
          <w:kern w:val="0"/>
          <w:sz w:val="32"/>
          <w:szCs w:val="32"/>
          <w:lang w:val="en-US" w:eastAsia="zh-CN"/>
        </w:rPr>
      </w:pPr>
      <w:r>
        <w:rPr>
          <w:rFonts w:hint="default" w:ascii="Times New Roman" w:hAnsi="Times New Roman" w:eastAsia="仿宋_GB2312" w:cs="Times New Roman"/>
          <w:strike w:val="0"/>
          <w:dstrike w:val="0"/>
          <w:kern w:val="0"/>
          <w:sz w:val="32"/>
          <w:szCs w:val="32"/>
          <w:lang w:val="en-US" w:eastAsia="zh-CN"/>
        </w:rPr>
        <w:t>6.</w:t>
      </w:r>
      <w:r>
        <w:rPr>
          <w:rFonts w:hint="default" w:ascii="Times New Roman" w:hAnsi="Times New Roman" w:eastAsia="仿宋_GB2312" w:cs="Times New Roman"/>
          <w:strike w:val="0"/>
          <w:dstrike w:val="0"/>
          <w:kern w:val="0"/>
          <w:sz w:val="32"/>
          <w:szCs w:val="32"/>
          <w:lang w:val="en-US" w:eastAsia="zh-CN"/>
        </w:rPr>
        <w:t>挖掘地域特色开发小众珍品。深入挖掘地域特色，能够开发出独具魅力的小众珍品。</w:t>
      </w:r>
      <w:r>
        <w:rPr>
          <w:rFonts w:hint="default" w:ascii="Times New Roman" w:hAnsi="Times New Roman" w:eastAsia="仿宋_GB2312" w:cs="Times New Roman"/>
          <w:strike w:val="0"/>
          <w:dstrike w:val="0"/>
          <w:kern w:val="0"/>
          <w:sz w:val="32"/>
          <w:szCs w:val="32"/>
          <w:lang w:val="en-US" w:eastAsia="zh-CN"/>
        </w:rPr>
        <w:t>围绕牛肉、鸡肉、辣椒、香菇</w:t>
      </w:r>
      <w:r>
        <w:rPr>
          <w:rFonts w:hint="default" w:ascii="Times New Roman" w:hAnsi="Times New Roman" w:eastAsia="仿宋_GB2312" w:cs="Times New Roman"/>
          <w:strike w:val="0"/>
          <w:dstrike w:val="0"/>
          <w:kern w:val="0"/>
          <w:sz w:val="32"/>
          <w:szCs w:val="32"/>
          <w:lang w:val="en-US" w:eastAsia="zh-CN"/>
        </w:rPr>
        <w:t>结合传统的制作工艺和独特的调味配方，打造出具有浓郁地方风味的酱料</w:t>
      </w:r>
      <w:r>
        <w:rPr>
          <w:rFonts w:hint="default" w:ascii="Times New Roman" w:hAnsi="Times New Roman" w:eastAsia="仿宋_GB2312" w:cs="Times New Roman"/>
          <w:strike w:val="0"/>
          <w:dstrike w:val="0"/>
          <w:kern w:val="0"/>
          <w:sz w:val="32"/>
          <w:szCs w:val="32"/>
          <w:lang w:val="en-US" w:eastAsia="zh-CN"/>
        </w:rPr>
        <w:t>、休闲食品、预制菜等地方产品美食，</w:t>
      </w:r>
      <w:r>
        <w:rPr>
          <w:rFonts w:hint="default" w:ascii="Times New Roman" w:hAnsi="Times New Roman" w:eastAsia="仿宋_GB2312" w:cs="Times New Roman"/>
          <w:strike w:val="0"/>
          <w:dstrike w:val="0"/>
          <w:kern w:val="0"/>
          <w:sz w:val="32"/>
          <w:szCs w:val="32"/>
          <w:lang w:val="en-US" w:eastAsia="zh-CN"/>
        </w:rPr>
        <w:t>满足多元化消费需求。</w:t>
      </w:r>
    </w:p>
    <w:p w14:paraId="57503EA7">
      <w:pPr>
        <w:keepNext w:val="0"/>
        <w:keepLines w:val="0"/>
        <w:pageBreakBefore w:val="0"/>
        <w:widowControl w:val="0"/>
        <w:kinsoku/>
        <w:wordWrap/>
        <w:overflowPunct/>
        <w:topLinePunct w:val="0"/>
        <w:autoSpaceDE/>
        <w:autoSpaceDN/>
        <w:bidi w:val="0"/>
        <w:adjustRightInd/>
        <w:snapToGrid/>
        <w:spacing w:line="556" w:lineRule="exact"/>
        <w:ind w:left="0" w:leftChars="0" w:firstLine="640" w:firstLineChars="0"/>
        <w:jc w:val="both"/>
        <w:textAlignment w:val="auto"/>
        <w:rPr>
          <w:rFonts w:hint="default" w:ascii="Times New Roman" w:hAnsi="Times New Roman" w:eastAsia="仿宋_GB2312" w:cs="Times New Roman"/>
          <w:strike w:val="0"/>
          <w:dstrike w:val="0"/>
          <w:kern w:val="0"/>
          <w:sz w:val="32"/>
          <w:szCs w:val="32"/>
          <w:lang w:val="en-US" w:eastAsia="zh-CN" w:bidi="ar-SA"/>
        </w:rPr>
      </w:pPr>
      <w:r>
        <w:rPr>
          <w:rFonts w:hint="default" w:ascii="Times New Roman" w:hAnsi="Times New Roman" w:eastAsia="仿宋_GB2312" w:cs="Times New Roman"/>
          <w:strike w:val="0"/>
          <w:dstrike w:val="0"/>
          <w:kern w:val="0"/>
          <w:sz w:val="32"/>
          <w:szCs w:val="32"/>
          <w:lang w:val="en-US" w:eastAsia="zh-CN" w:bidi="ar-SA"/>
        </w:rPr>
        <w:t>7</w:t>
      </w:r>
      <w:r>
        <w:rPr>
          <w:rFonts w:hint="default" w:ascii="Times New Roman" w:hAnsi="Times New Roman" w:eastAsia="仿宋_GB2312" w:cs="Times New Roman"/>
          <w:strike w:val="0"/>
          <w:dstrike w:val="0"/>
          <w:kern w:val="0"/>
          <w:sz w:val="32"/>
          <w:szCs w:val="32"/>
          <w:lang w:val="en-US" w:eastAsia="zh-CN" w:bidi="ar-SA"/>
        </w:rPr>
        <w:t>.科技赋能打造功能性食品。支持龙头企业与科研院所、高校开展产学研合作，围绕牛羊肉、辣椒、奶制品、粮油等主导产品进行深度开发，重点发展即食预制食品、复合调味品、便携奶制品及功能性食品等创新品类</w:t>
      </w:r>
      <w:r>
        <w:rPr>
          <w:rFonts w:hint="default" w:ascii="Times New Roman" w:hAnsi="Times New Roman" w:eastAsia="仿宋_GB2312" w:cs="Times New Roman"/>
          <w:strike w:val="0"/>
          <w:dstrike w:val="0"/>
          <w:kern w:val="0"/>
          <w:sz w:val="32"/>
          <w:szCs w:val="32"/>
          <w:lang w:val="en-US" w:eastAsia="zh-CN" w:bidi="ar-SA"/>
        </w:rPr>
        <w:t>，</w:t>
      </w:r>
      <w:r>
        <w:rPr>
          <w:rFonts w:hint="default" w:ascii="Times New Roman" w:hAnsi="Times New Roman" w:eastAsia="仿宋_GB2312" w:cs="Times New Roman"/>
          <w:strike w:val="0"/>
          <w:dstrike w:val="0"/>
          <w:kern w:val="0"/>
          <w:sz w:val="32"/>
          <w:szCs w:val="32"/>
          <w:lang w:val="en-US" w:eastAsia="zh-CN" w:bidi="ar-SA"/>
        </w:rPr>
        <w:t>提升产品科技含量与附加值，突破同质化竞争，培育新的增长点。</w:t>
      </w:r>
    </w:p>
    <w:p w14:paraId="7DC39D64">
      <w:pPr>
        <w:keepNext w:val="0"/>
        <w:keepLines w:val="0"/>
        <w:pageBreakBefore w:val="0"/>
        <w:widowControl w:val="0"/>
        <w:kinsoku/>
        <w:wordWrap/>
        <w:overflowPunct/>
        <w:topLinePunct w:val="0"/>
        <w:autoSpaceDE/>
        <w:autoSpaceDN/>
        <w:bidi w:val="0"/>
        <w:adjustRightInd/>
        <w:snapToGrid/>
        <w:spacing w:line="556" w:lineRule="exact"/>
        <w:ind w:firstLine="643" w:firstLineChars="200"/>
        <w:jc w:val="left"/>
        <w:textAlignment w:val="auto"/>
        <w:rPr>
          <w:rFonts w:hint="default" w:ascii="Times New Roman" w:hAnsi="Times New Roman" w:eastAsia="楷体_GB2312" w:cs="Times New Roman"/>
          <w:b/>
          <w:bCs/>
          <w:sz w:val="32"/>
          <w:highlight w:val="none"/>
          <w:lang w:val="en-US" w:eastAsia="zh-CN"/>
        </w:rPr>
      </w:pPr>
      <w:r>
        <w:rPr>
          <w:rFonts w:hint="default" w:ascii="Times New Roman" w:hAnsi="Times New Roman" w:eastAsia="楷体_GB2312" w:cs="Times New Roman"/>
          <w:b/>
          <w:bCs/>
          <w:sz w:val="32"/>
          <w:highlight w:val="none"/>
          <w:lang w:val="en-US" w:eastAsia="zh-CN"/>
        </w:rPr>
        <w:t>（四）搭建品牌宣介载体</w:t>
      </w:r>
    </w:p>
    <w:p w14:paraId="68489F88">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left"/>
        <w:textAlignment w:val="auto"/>
        <w:rPr>
          <w:rFonts w:hint="default" w:ascii="Times New Roman" w:hAnsi="Times New Roman" w:eastAsia="仿宋_GB2312" w:cs="Times New Roman"/>
          <w:strike w:val="0"/>
          <w:dstrike w:val="0"/>
          <w:kern w:val="0"/>
          <w:sz w:val="32"/>
          <w:szCs w:val="32"/>
          <w:lang w:val="en-US" w:eastAsia="zh-CN"/>
        </w:rPr>
      </w:pPr>
      <w:r>
        <w:rPr>
          <w:rFonts w:hint="default" w:ascii="Times New Roman" w:hAnsi="Times New Roman" w:eastAsia="仿宋_GB2312" w:cs="Times New Roman"/>
          <w:strike w:val="0"/>
          <w:dstrike w:val="0"/>
          <w:kern w:val="0"/>
          <w:sz w:val="32"/>
          <w:szCs w:val="32"/>
          <w:lang w:val="en-US" w:eastAsia="zh-CN"/>
        </w:rPr>
        <w:t>8.举办宣传活动。加强“鄂托克前旗羊肉”“城川辣椒”等区域公用品牌宣传力度，积极参加中国国际农产品交易会、中国绿色食品博览会等展会，提升品牌知名度和影响力。结合“草原村排”赛事、农牧民丰收节、那达慕等活动，组织开展农畜产品展销，对农畜产品品牌进行宣传推介。</w:t>
      </w:r>
    </w:p>
    <w:p w14:paraId="72ED88A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trike w:val="0"/>
          <w:dstrike w:val="0"/>
          <w:kern w:val="0"/>
          <w:sz w:val="32"/>
          <w:szCs w:val="32"/>
          <w:lang w:val="en-US" w:eastAsia="zh-CN"/>
        </w:rPr>
      </w:pPr>
      <w:r>
        <w:rPr>
          <w:rFonts w:hint="default" w:ascii="Times New Roman" w:hAnsi="Times New Roman" w:eastAsia="仿宋_GB2312" w:cs="Times New Roman"/>
          <w:strike w:val="0"/>
          <w:dstrike w:val="0"/>
          <w:kern w:val="0"/>
          <w:sz w:val="32"/>
          <w:szCs w:val="32"/>
          <w:lang w:val="en-US" w:eastAsia="zh-CN"/>
        </w:rPr>
        <w:t>9.拓展推广渠道。开展品牌自媒体平台建设和运营，构建以微信公众号/视频号、抖音、微博等平台为核心的融媒体传播矩阵，快速提升区域公用品牌知名度。同步加大地标、机场、跨线桥等户外媒体做场景营销广告投放力度，增加品牌传播覆盖面，近距离震撼大画面强化记忆，以此达到高声量、高频次、夺眼球、占心智的包围式传播。</w:t>
      </w:r>
    </w:p>
    <w:p w14:paraId="04D6E206">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left"/>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10.推进借势宣传。邀请知名农推官、美食博主、网红达人对全旗农畜产品进行品尝和推荐，通过视频展示产品的制作过程，吸引消费者的关注和兴趣。同时，结合节假日、促销活动等节点，鼓励扶持各类经营主体开发“草原村排”系列特色产品、伴手礼等，将旅游流量转化为产品销量。</w:t>
      </w:r>
    </w:p>
    <w:p w14:paraId="0845243D">
      <w:pPr>
        <w:keepNext w:val="0"/>
        <w:keepLines w:val="0"/>
        <w:pageBreakBefore w:val="0"/>
        <w:widowControl w:val="0"/>
        <w:kinsoku/>
        <w:wordWrap/>
        <w:overflowPunct/>
        <w:topLinePunct w:val="0"/>
        <w:autoSpaceDE/>
        <w:autoSpaceDN/>
        <w:bidi w:val="0"/>
        <w:adjustRightInd/>
        <w:snapToGrid/>
        <w:spacing w:line="556" w:lineRule="exact"/>
        <w:ind w:firstLine="643" w:firstLineChars="200"/>
        <w:jc w:val="left"/>
        <w:textAlignment w:val="auto"/>
        <w:rPr>
          <w:rFonts w:hint="default" w:ascii="Times New Roman" w:hAnsi="Times New Roman" w:eastAsia="楷体_GB2312" w:cs="Times New Roman"/>
          <w:b/>
          <w:bCs/>
          <w:sz w:val="32"/>
          <w:highlight w:val="none"/>
          <w:lang w:val="en-US" w:eastAsia="zh-CN"/>
        </w:rPr>
      </w:pPr>
      <w:r>
        <w:rPr>
          <w:rFonts w:hint="default" w:ascii="Times New Roman" w:hAnsi="Times New Roman" w:eastAsia="楷体_GB2312" w:cs="Times New Roman"/>
          <w:b/>
          <w:bCs/>
          <w:sz w:val="32"/>
          <w:highlight w:val="none"/>
          <w:lang w:val="en-US" w:eastAsia="zh-CN"/>
        </w:rPr>
        <w:t>（</w:t>
      </w:r>
      <w:r>
        <w:rPr>
          <w:rFonts w:hint="default" w:ascii="Times New Roman" w:hAnsi="Times New Roman" w:eastAsia="楷体_GB2312" w:cs="Times New Roman"/>
          <w:b/>
          <w:bCs/>
          <w:sz w:val="32"/>
          <w:highlight w:val="none"/>
          <w:lang w:val="en-US" w:eastAsia="zh-CN"/>
        </w:rPr>
        <w:t>五</w:t>
      </w:r>
      <w:r>
        <w:rPr>
          <w:rFonts w:hint="default" w:ascii="Times New Roman" w:hAnsi="Times New Roman" w:eastAsia="楷体_GB2312" w:cs="Times New Roman"/>
          <w:b/>
          <w:bCs/>
          <w:sz w:val="32"/>
          <w:highlight w:val="none"/>
          <w:lang w:val="en-US" w:eastAsia="zh-CN"/>
        </w:rPr>
        <w:t>）</w:t>
      </w:r>
      <w:r>
        <w:rPr>
          <w:rFonts w:hint="default" w:ascii="Times New Roman" w:hAnsi="Times New Roman" w:eastAsia="楷体_GB2312" w:cs="Times New Roman"/>
          <w:b/>
          <w:bCs/>
          <w:sz w:val="32"/>
          <w:highlight w:val="none"/>
          <w:lang w:val="en-US" w:eastAsia="zh-CN"/>
        </w:rPr>
        <w:t>创新产品</w:t>
      </w:r>
      <w:r>
        <w:rPr>
          <w:rFonts w:hint="default" w:ascii="Times New Roman" w:hAnsi="Times New Roman" w:eastAsia="楷体_GB2312" w:cs="Times New Roman"/>
          <w:b/>
          <w:bCs/>
          <w:sz w:val="32"/>
          <w:highlight w:val="none"/>
          <w:lang w:val="en-US" w:eastAsia="zh-CN"/>
        </w:rPr>
        <w:t>销售模式</w:t>
      </w:r>
    </w:p>
    <w:p w14:paraId="651C4FBC">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left"/>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11.立体化品牌传播。深入挖掘“从一棵柠条到一块好肉”等品牌故事，通过短视频、微纪录片、图文等形式在全媒体平台持续推广。借助“草原村排”“蒙超”联赛、暖城“村BA”等本土文化体育IP，策划“赛事官方指定食材”等主题营销，推动流量转化。结合那达慕、农牧民丰收节等节庆，开展品牌嘉年华、美食文化节等线下展示展销活动，促进文化资源向品牌价值转化。构建以“鄂前旗甄选”官方账号为核心，企业、网红、权威媒体协同的融媒体传播矩阵，提升品牌知名度与美誉度。</w:t>
      </w:r>
    </w:p>
    <w:p w14:paraId="15D128ED">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left"/>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12.全渠道销售网络。巩固提升现有门店，在旗内外重点区域、高端社区与商业中心新建或升级品牌体验店、直营店，强化品牌形象展示与消费体验。推动产品进入山姆会员店、盒马鲜生等高端商超系统，布局重点景区、交通枢纽等特色消费场景，拓展市场触点。支持企业在京东、天猫、抖音等平台开设官方旗舰店，培育本土直播团队，融入“暖城多味”等区域电商体系，实现线上线下协同发展。</w:t>
      </w:r>
    </w:p>
    <w:p w14:paraId="5F64805D">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left"/>
        <w:textAlignment w:val="auto"/>
        <w:rPr>
          <w:rFonts w:hint="default" w:ascii="Times New Roman" w:hAnsi="Times New Roman" w:eastAsia="仿宋_GB2312" w:cs="Times New Roman"/>
          <w:b/>
          <w:bCs/>
          <w:kern w:val="0"/>
          <w:sz w:val="32"/>
          <w:szCs w:val="32"/>
          <w:lang w:val="en-US" w:eastAsia="zh-CN"/>
        </w:rPr>
      </w:pPr>
      <w:r>
        <w:rPr>
          <w:rFonts w:hint="default" w:ascii="Times New Roman" w:hAnsi="Times New Roman" w:eastAsia="仿宋_GB2312" w:cs="Times New Roman"/>
          <w:kern w:val="0"/>
          <w:sz w:val="32"/>
          <w:szCs w:val="32"/>
          <w:lang w:val="en-US" w:eastAsia="zh-CN"/>
        </w:rPr>
        <w:t>13.提升冷链物流能力。高效运营鄂托克前旗新质生产力应用中心，推进物流园智能化、绿色化升级。重点补齐冷链物流短板，优化干支线冷链运输网络，引入仓储与运输管理系统，为产品高效、高品质通达全国提供坚实供应链保障。</w:t>
      </w:r>
    </w:p>
    <w:p w14:paraId="7E857604">
      <w:pPr>
        <w:keepNext w:val="0"/>
        <w:keepLines w:val="0"/>
        <w:pageBreakBefore w:val="0"/>
        <w:widowControl w:val="0"/>
        <w:numPr>
          <w:ilvl w:val="0"/>
          <w:numId w:val="0"/>
        </w:numPr>
        <w:kinsoku/>
        <w:wordWrap/>
        <w:overflowPunct/>
        <w:topLinePunct w:val="0"/>
        <w:autoSpaceDE/>
        <w:autoSpaceDN/>
        <w:bidi w:val="0"/>
        <w:adjustRightInd/>
        <w:snapToGrid/>
        <w:spacing w:line="556" w:lineRule="exact"/>
        <w:ind w:firstLine="640" w:firstLineChars="200"/>
        <w:jc w:val="left"/>
        <w:textAlignment w:val="auto"/>
        <w:rPr>
          <w:rFonts w:hint="default" w:ascii="Times New Roman" w:hAnsi="Times New Roman" w:eastAsia="黑体" w:cs="Times New Roman"/>
          <w:b w:val="0"/>
          <w:bCs w:val="0"/>
          <w:sz w:val="32"/>
          <w:highlight w:val="none"/>
        </w:rPr>
      </w:pPr>
      <w:r>
        <w:rPr>
          <w:rFonts w:hint="default" w:ascii="Times New Roman" w:hAnsi="Times New Roman" w:eastAsia="黑体" w:cs="Times New Roman"/>
          <w:b w:val="0"/>
          <w:bCs w:val="0"/>
          <w:sz w:val="32"/>
          <w:highlight w:val="none"/>
          <w:lang w:eastAsia="zh-CN"/>
        </w:rPr>
        <w:t>三</w:t>
      </w:r>
      <w:r>
        <w:rPr>
          <w:rFonts w:hint="default" w:ascii="Times New Roman" w:hAnsi="Times New Roman" w:eastAsia="黑体" w:cs="Times New Roman"/>
          <w:b w:val="0"/>
          <w:bCs w:val="0"/>
          <w:sz w:val="32"/>
          <w:highlight w:val="none"/>
        </w:rPr>
        <w:t>、保障措施</w:t>
      </w:r>
    </w:p>
    <w:p w14:paraId="35F78001">
      <w:pPr>
        <w:keepNext w:val="0"/>
        <w:keepLines w:val="0"/>
        <w:pageBreakBefore w:val="0"/>
        <w:widowControl w:val="0"/>
        <w:numPr>
          <w:ilvl w:val="0"/>
          <w:numId w:val="0"/>
        </w:numPr>
        <w:kinsoku/>
        <w:wordWrap/>
        <w:overflowPunct/>
        <w:topLinePunct w:val="0"/>
        <w:autoSpaceDE/>
        <w:autoSpaceDN/>
        <w:bidi w:val="0"/>
        <w:adjustRightInd/>
        <w:snapToGrid/>
        <w:spacing w:line="556" w:lineRule="exact"/>
        <w:ind w:firstLine="640" w:firstLineChars="200"/>
        <w:jc w:val="left"/>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楷体_GB2312" w:cs="Times New Roman"/>
          <w:b w:val="0"/>
          <w:bCs w:val="0"/>
          <w:sz w:val="32"/>
          <w:highlight w:val="none"/>
        </w:rPr>
        <w:t>（一）强化组织领导</w:t>
      </w:r>
      <w:r>
        <w:rPr>
          <w:rFonts w:hint="default" w:ascii="Times New Roman" w:hAnsi="Times New Roman" w:eastAsia="楷体_GB2312" w:cs="Times New Roman"/>
          <w:b w:val="0"/>
          <w:bCs w:val="0"/>
          <w:sz w:val="32"/>
          <w:highlight w:val="none"/>
          <w:lang w:eastAsia="zh-CN"/>
        </w:rPr>
        <w:t>。</w:t>
      </w:r>
      <w:r>
        <w:rPr>
          <w:rFonts w:hint="default" w:ascii="Times New Roman" w:hAnsi="Times New Roman" w:eastAsia="仿宋_GB2312" w:cs="Times New Roman"/>
          <w:kern w:val="0"/>
          <w:sz w:val="32"/>
          <w:szCs w:val="32"/>
          <w:lang w:val="en-US" w:eastAsia="zh-CN"/>
        </w:rPr>
        <w:t>建立全旗农畜产品品牌建设联席会议协调机制，由旗农牧和水利局牵头组织，定期召开联席会议，总结工作推进情况，及时解决品牌建设中遇到的困难和问题。各相关部门要高度重视农畜产品品牌建设，树立“一盘棋”意识，强化沟通对接，根据各自职责权限加强联动配合、密切协作，形成品牌建设工作合力，确保全旗农畜产品品牌建设工作见行见效。</w:t>
      </w:r>
    </w:p>
    <w:p w14:paraId="7EF2A2BB">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left"/>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楷体_GB2312" w:cs="Times New Roman"/>
          <w:b w:val="0"/>
          <w:bCs w:val="0"/>
          <w:sz w:val="32"/>
          <w:highlight w:val="none"/>
          <w:lang w:eastAsia="zh-CN"/>
        </w:rPr>
        <w:t>（二）强化政策保障。</w:t>
      </w:r>
      <w:r>
        <w:rPr>
          <w:rFonts w:hint="default" w:ascii="Times New Roman" w:hAnsi="Times New Roman" w:eastAsia="仿宋_GB2312" w:cs="Times New Roman"/>
          <w:kern w:val="0"/>
          <w:sz w:val="32"/>
          <w:szCs w:val="32"/>
          <w:lang w:val="en-US" w:eastAsia="zh-CN"/>
        </w:rPr>
        <w:t>积极争取国家、自治区、市级农牧业品牌建设专项资金，用于奖励用标示范企业及用标优秀企业，落实营销网络建设补贴费用用于补贴品牌体验店、冠名店等运营主体，用于品牌宣传、展会推介等工作支出；每年设立2000万元品牌建设专项资金（具体分配附后），对在品牌建设中表现突出，能有效带动本区域公用品牌发展的建设主体，予以一定的资金奖补。</w:t>
      </w:r>
    </w:p>
    <w:p w14:paraId="0F5A0100">
      <w:pPr>
        <w:keepNext w:val="0"/>
        <w:keepLines w:val="0"/>
        <w:pageBreakBefore w:val="0"/>
        <w:widowControl w:val="0"/>
        <w:numPr>
          <w:ilvl w:val="0"/>
          <w:numId w:val="0"/>
        </w:numPr>
        <w:kinsoku/>
        <w:wordWrap/>
        <w:overflowPunct/>
        <w:topLinePunct w:val="0"/>
        <w:autoSpaceDE/>
        <w:autoSpaceDN/>
        <w:bidi w:val="0"/>
        <w:adjustRightInd/>
        <w:snapToGrid/>
        <w:spacing w:line="556" w:lineRule="exact"/>
        <w:ind w:firstLine="640" w:firstLineChars="200"/>
        <w:jc w:val="left"/>
        <w:textAlignment w:val="auto"/>
        <w:rPr>
          <w:rFonts w:hint="default" w:ascii="Times New Roman" w:hAnsi="Times New Roman" w:eastAsia="楷体_GB2312" w:cs="Times New Roman"/>
          <w:b w:val="0"/>
          <w:bCs w:val="0"/>
          <w:sz w:val="32"/>
          <w:highlight w:val="none"/>
          <w:lang w:eastAsia="zh-CN"/>
        </w:rPr>
      </w:pPr>
      <w:r>
        <w:rPr>
          <w:rFonts w:hint="default" w:ascii="Times New Roman" w:hAnsi="Times New Roman" w:eastAsia="楷体_GB2312" w:cs="Times New Roman"/>
          <w:b w:val="0"/>
          <w:bCs w:val="0"/>
          <w:sz w:val="32"/>
          <w:highlight w:val="none"/>
          <w:lang w:eastAsia="zh-CN"/>
        </w:rPr>
        <w:t>（三）强化监督检查。</w:t>
      </w:r>
      <w:r>
        <w:rPr>
          <w:rFonts w:hint="default" w:ascii="Times New Roman" w:hAnsi="Times New Roman" w:eastAsia="仿宋_GB2312" w:cs="Times New Roman"/>
          <w:b w:val="0"/>
          <w:bCs w:val="0"/>
          <w:color w:val="auto"/>
          <w:kern w:val="2"/>
          <w:sz w:val="32"/>
          <w:szCs w:val="32"/>
          <w:lang w:val="en-US" w:eastAsia="zh-CN"/>
        </w:rPr>
        <w:t>旗党政两办督查室</w:t>
      </w:r>
      <w:r>
        <w:rPr>
          <w:rFonts w:hint="default" w:ascii="Times New Roman" w:hAnsi="Times New Roman" w:eastAsia="仿宋_GB2312" w:cs="Times New Roman"/>
          <w:b w:val="0"/>
          <w:bCs w:val="0"/>
          <w:color w:val="auto"/>
          <w:kern w:val="2"/>
          <w:sz w:val="32"/>
          <w:szCs w:val="32"/>
          <w:lang w:val="en-US" w:eastAsia="zh-CN"/>
        </w:rPr>
        <w:t>要强化专项督查，</w:t>
      </w:r>
      <w:r>
        <w:rPr>
          <w:rFonts w:hint="default" w:ascii="Times New Roman" w:hAnsi="Times New Roman" w:eastAsia="仿宋_GB2312" w:cs="Times New Roman"/>
          <w:b w:val="0"/>
          <w:bCs w:val="0"/>
          <w:color w:val="auto"/>
          <w:kern w:val="2"/>
          <w:sz w:val="32"/>
          <w:szCs w:val="32"/>
          <w:lang w:val="en-US" w:eastAsia="zh-CN"/>
        </w:rPr>
        <w:t>盯任务、盯进度、盯成效，确保品牌建设实打实、点对点落地、见实效。</w:t>
      </w:r>
      <w:r>
        <w:rPr>
          <w:rFonts w:hint="default" w:ascii="Times New Roman" w:hAnsi="Times New Roman" w:eastAsia="仿宋_GB2312" w:cs="Times New Roman"/>
          <w:b w:val="0"/>
          <w:bCs w:val="0"/>
          <w:color w:val="auto"/>
          <w:kern w:val="2"/>
          <w:sz w:val="32"/>
          <w:szCs w:val="32"/>
          <w:lang w:val="en-US" w:eastAsia="zh-CN"/>
        </w:rPr>
        <w:t>对存在不担当、不作为、慢作为、乱作为、推诿扯皮等问题的</w:t>
      </w:r>
      <w:r>
        <w:rPr>
          <w:rFonts w:hint="default" w:ascii="Times New Roman" w:hAnsi="Times New Roman" w:eastAsia="仿宋_GB2312" w:cs="Times New Roman"/>
          <w:b w:val="0"/>
          <w:bCs w:val="0"/>
          <w:color w:val="auto"/>
          <w:kern w:val="2"/>
          <w:sz w:val="32"/>
          <w:szCs w:val="32"/>
          <w:lang w:val="en-US" w:eastAsia="zh-CN"/>
        </w:rPr>
        <w:t>镇、</w:t>
      </w:r>
      <w:r>
        <w:rPr>
          <w:rFonts w:hint="default" w:ascii="Times New Roman" w:hAnsi="Times New Roman" w:eastAsia="仿宋_GB2312" w:cs="Times New Roman"/>
          <w:b w:val="0"/>
          <w:bCs w:val="0"/>
          <w:color w:val="auto"/>
          <w:kern w:val="2"/>
          <w:sz w:val="32"/>
          <w:szCs w:val="32"/>
          <w:lang w:val="en-US" w:eastAsia="zh-CN"/>
        </w:rPr>
        <w:t>部门，</w:t>
      </w:r>
      <w:r>
        <w:rPr>
          <w:rFonts w:hint="default" w:ascii="Times New Roman" w:hAnsi="Times New Roman" w:eastAsia="仿宋_GB2312" w:cs="Times New Roman"/>
          <w:b w:val="0"/>
          <w:bCs w:val="0"/>
          <w:color w:val="auto"/>
          <w:kern w:val="2"/>
          <w:sz w:val="32"/>
          <w:szCs w:val="32"/>
          <w:lang w:val="en-US" w:eastAsia="zh-CN"/>
        </w:rPr>
        <w:t>依纪依规</w:t>
      </w:r>
      <w:r>
        <w:rPr>
          <w:rFonts w:hint="default" w:ascii="Times New Roman" w:hAnsi="Times New Roman" w:eastAsia="仿宋_GB2312" w:cs="Times New Roman"/>
          <w:b w:val="0"/>
          <w:bCs w:val="0"/>
          <w:color w:val="auto"/>
          <w:kern w:val="2"/>
          <w:sz w:val="32"/>
          <w:szCs w:val="32"/>
          <w:lang w:val="en-US" w:eastAsia="zh-CN"/>
        </w:rPr>
        <w:t>依</w:t>
      </w:r>
      <w:r>
        <w:rPr>
          <w:rFonts w:hint="default" w:ascii="Times New Roman" w:hAnsi="Times New Roman" w:eastAsia="仿宋_GB2312" w:cs="Times New Roman"/>
          <w:b w:val="0"/>
          <w:bCs w:val="0"/>
          <w:color w:val="auto"/>
          <w:kern w:val="2"/>
          <w:sz w:val="32"/>
          <w:szCs w:val="32"/>
          <w:lang w:val="en-US" w:eastAsia="zh-CN"/>
        </w:rPr>
        <w:t>法追责问责</w:t>
      </w:r>
      <w:r>
        <w:rPr>
          <w:rFonts w:hint="default" w:ascii="Times New Roman" w:hAnsi="Times New Roman" w:eastAsia="仿宋_GB2312" w:cs="Times New Roman"/>
          <w:b w:val="0"/>
          <w:bCs w:val="0"/>
          <w:color w:val="auto"/>
          <w:kern w:val="2"/>
          <w:sz w:val="32"/>
          <w:szCs w:val="32"/>
          <w:lang w:val="en-US" w:eastAsia="zh-CN"/>
        </w:rPr>
        <w:t>。</w:t>
      </w:r>
    </w:p>
    <w:p w14:paraId="66F3862A">
      <w:pPr>
        <w:rPr>
          <w:rFonts w:hint="default" w:ascii="Times New Roman" w:hAnsi="Times New Roman" w:eastAsia="仿宋" w:cs="Times New Roman"/>
          <w:b w:val="0"/>
          <w:bCs w:val="0"/>
          <w:sz w:val="32"/>
          <w:highlight w:val="none"/>
          <w:lang w:val="en-US" w:eastAsia="zh-CN"/>
        </w:rPr>
      </w:pPr>
      <w:r>
        <w:rPr>
          <w:rFonts w:hint="default" w:ascii="Times New Roman" w:hAnsi="Times New Roman" w:eastAsia="仿宋" w:cs="Times New Roman"/>
          <w:b w:val="0"/>
          <w:bCs w:val="0"/>
          <w:sz w:val="32"/>
          <w:highlight w:val="none"/>
          <w:lang w:val="en-US" w:eastAsia="zh-CN"/>
        </w:rPr>
        <w:br w:type="page"/>
      </w:r>
    </w:p>
    <w:p w14:paraId="36CE084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 w:cs="Times New Roman"/>
          <w:b w:val="0"/>
          <w:bCs w:val="0"/>
          <w:sz w:val="32"/>
          <w:highlight w:val="none"/>
          <w:lang w:val="en-US" w:eastAsia="zh-CN"/>
        </w:rPr>
      </w:pPr>
      <w:r>
        <w:rPr>
          <w:rFonts w:hint="default" w:ascii="Times New Roman" w:hAnsi="Times New Roman" w:eastAsia="方正小标宋简体" w:cs="Times New Roman"/>
          <w:color w:val="auto"/>
          <w:kern w:val="0"/>
          <w:sz w:val="32"/>
          <w:szCs w:val="32"/>
          <w:lang w:val="en-US" w:eastAsia="zh-CN" w:bidi="ar-SA"/>
        </w:rPr>
        <w:t>鄂托克前旗农牧业品牌化发展行动实施项目统计表</w:t>
      </w:r>
    </w:p>
    <w:tbl>
      <w:tblPr>
        <w:tblStyle w:val="18"/>
        <w:tblW w:w="896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7"/>
        <w:gridCol w:w="1674"/>
        <w:gridCol w:w="3037"/>
        <w:gridCol w:w="1048"/>
        <w:gridCol w:w="968"/>
        <w:gridCol w:w="677"/>
        <w:gridCol w:w="795"/>
      </w:tblGrid>
      <w:tr w14:paraId="0EB5E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1" w:hRule="atLeast"/>
        </w:trPr>
        <w:tc>
          <w:tcPr>
            <w:tcW w:w="767" w:type="dxa"/>
            <w:tcBorders>
              <w:top w:val="single" w:color="000000" w:sz="8" w:space="0"/>
              <w:left w:val="single" w:color="000000" w:sz="8" w:space="0"/>
              <w:bottom w:val="single" w:color="000000" w:sz="8" w:space="0"/>
              <w:right w:val="single" w:color="auto" w:sz="4" w:space="0"/>
            </w:tcBorders>
            <w:shd w:val="clear" w:color="auto" w:fill="auto"/>
            <w:vAlign w:val="center"/>
          </w:tcPr>
          <w:p w14:paraId="1C7F97D5">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序号</w:t>
            </w:r>
          </w:p>
        </w:tc>
        <w:tc>
          <w:tcPr>
            <w:tcW w:w="1674" w:type="dxa"/>
            <w:tcBorders>
              <w:top w:val="single" w:color="auto" w:sz="4" w:space="0"/>
              <w:left w:val="single" w:color="auto" w:sz="4" w:space="0"/>
              <w:bottom w:val="single" w:color="auto" w:sz="4" w:space="0"/>
              <w:right w:val="single" w:color="auto" w:sz="4" w:space="0"/>
            </w:tcBorders>
            <w:shd w:val="clear" w:color="auto" w:fill="auto"/>
            <w:vAlign w:val="center"/>
          </w:tcPr>
          <w:p w14:paraId="65BED4EC">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项目名称</w:t>
            </w:r>
          </w:p>
        </w:tc>
        <w:tc>
          <w:tcPr>
            <w:tcW w:w="3037" w:type="dxa"/>
            <w:tcBorders>
              <w:top w:val="single" w:color="auto" w:sz="4" w:space="0"/>
              <w:left w:val="single" w:color="auto" w:sz="4" w:space="0"/>
              <w:bottom w:val="single" w:color="auto" w:sz="4" w:space="0"/>
              <w:right w:val="single" w:color="auto" w:sz="4" w:space="0"/>
            </w:tcBorders>
            <w:shd w:val="clear" w:color="auto" w:fill="auto"/>
            <w:vAlign w:val="center"/>
          </w:tcPr>
          <w:p w14:paraId="095E8281">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21"/>
                <w:szCs w:val="21"/>
                <w:u w:val="none"/>
                <w:lang w:val="en-US" w:eastAsia="zh-CN" w:bidi="ar"/>
              </w:rPr>
              <w:t>建设内容及规模</w:t>
            </w:r>
          </w:p>
        </w:tc>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14:paraId="2746EE22">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投资类型</w:t>
            </w:r>
          </w:p>
        </w:tc>
        <w:tc>
          <w:tcPr>
            <w:tcW w:w="968" w:type="dxa"/>
            <w:tcBorders>
              <w:top w:val="single" w:color="auto" w:sz="4" w:space="0"/>
              <w:left w:val="single" w:color="auto" w:sz="4" w:space="0"/>
              <w:bottom w:val="single" w:color="auto" w:sz="4" w:space="0"/>
              <w:right w:val="single" w:color="auto" w:sz="4" w:space="0"/>
            </w:tcBorders>
            <w:shd w:val="clear" w:color="auto" w:fill="auto"/>
            <w:vAlign w:val="center"/>
          </w:tcPr>
          <w:p w14:paraId="2800BE7E">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总投资（万元）</w:t>
            </w:r>
          </w:p>
        </w:tc>
        <w:tc>
          <w:tcPr>
            <w:tcW w:w="677" w:type="dxa"/>
            <w:tcBorders>
              <w:top w:val="single" w:color="auto" w:sz="4" w:space="0"/>
              <w:left w:val="single" w:color="auto" w:sz="4" w:space="0"/>
              <w:bottom w:val="single" w:color="auto" w:sz="4" w:space="0"/>
              <w:right w:val="single" w:color="auto" w:sz="4" w:space="0"/>
            </w:tcBorders>
            <w:shd w:val="clear" w:color="auto" w:fill="auto"/>
            <w:vAlign w:val="center"/>
          </w:tcPr>
          <w:p w14:paraId="0626CB6D">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建设年限</w:t>
            </w:r>
          </w:p>
        </w:tc>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6D8CD935">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备注</w:t>
            </w:r>
          </w:p>
        </w:tc>
      </w:tr>
      <w:tr w14:paraId="5F47C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547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B955087">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合计</w:t>
            </w:r>
          </w:p>
        </w:tc>
        <w:tc>
          <w:tcPr>
            <w:tcW w:w="1048" w:type="dxa"/>
            <w:tcBorders>
              <w:top w:val="single" w:color="auto" w:sz="4" w:space="0"/>
              <w:left w:val="single" w:color="auto" w:sz="4" w:space="0"/>
              <w:bottom w:val="single" w:color="auto" w:sz="4" w:space="0"/>
              <w:right w:val="single" w:color="auto" w:sz="4" w:space="0"/>
            </w:tcBorders>
            <w:shd w:val="clear" w:color="auto" w:fill="auto"/>
            <w:vAlign w:val="center"/>
          </w:tcPr>
          <w:p w14:paraId="5B756D72">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p>
        </w:tc>
        <w:tc>
          <w:tcPr>
            <w:tcW w:w="968" w:type="dxa"/>
            <w:tcBorders>
              <w:top w:val="single" w:color="auto" w:sz="4" w:space="0"/>
              <w:left w:val="single" w:color="auto" w:sz="4" w:space="0"/>
              <w:bottom w:val="single" w:color="auto" w:sz="4" w:space="0"/>
              <w:right w:val="single" w:color="auto" w:sz="4" w:space="0"/>
            </w:tcBorders>
            <w:shd w:val="clear" w:color="auto" w:fill="auto"/>
            <w:vAlign w:val="center"/>
          </w:tcPr>
          <w:p w14:paraId="63F78C95">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10000</w:t>
            </w:r>
          </w:p>
        </w:tc>
        <w:tc>
          <w:tcPr>
            <w:tcW w:w="677" w:type="dxa"/>
            <w:tcBorders>
              <w:top w:val="single" w:color="auto" w:sz="4" w:space="0"/>
              <w:left w:val="single" w:color="auto" w:sz="4" w:space="0"/>
              <w:bottom w:val="single" w:color="auto" w:sz="4" w:space="0"/>
              <w:right w:val="single" w:color="auto" w:sz="4" w:space="0"/>
            </w:tcBorders>
            <w:shd w:val="clear" w:color="auto" w:fill="auto"/>
            <w:vAlign w:val="center"/>
          </w:tcPr>
          <w:p w14:paraId="4B914034">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p>
        </w:tc>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6E98F209">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p>
        </w:tc>
      </w:tr>
      <w:tr w14:paraId="5537B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767" w:type="dxa"/>
            <w:tcBorders>
              <w:top w:val="single" w:color="auto" w:sz="4" w:space="0"/>
              <w:left w:val="single" w:color="000000" w:sz="8" w:space="0"/>
              <w:bottom w:val="single" w:color="000000" w:sz="8" w:space="0"/>
              <w:right w:val="single" w:color="000000" w:sz="8" w:space="0"/>
            </w:tcBorders>
            <w:shd w:val="clear" w:color="auto" w:fill="auto"/>
            <w:vAlign w:val="center"/>
          </w:tcPr>
          <w:p w14:paraId="381FCDF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1</w:t>
            </w:r>
          </w:p>
        </w:tc>
        <w:tc>
          <w:tcPr>
            <w:tcW w:w="1674" w:type="dxa"/>
            <w:tcBorders>
              <w:top w:val="single" w:color="auto" w:sz="4" w:space="0"/>
              <w:left w:val="single" w:color="000000" w:sz="8" w:space="0"/>
              <w:bottom w:val="single" w:color="000000" w:sz="8" w:space="0"/>
              <w:right w:val="single" w:color="000000" w:sz="8" w:space="0"/>
            </w:tcBorders>
            <w:shd w:val="clear" w:color="auto" w:fill="auto"/>
            <w:vAlign w:val="center"/>
          </w:tcPr>
          <w:p w14:paraId="42D3C0C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鄂托克前旗羊肉培优行动</w:t>
            </w:r>
          </w:p>
        </w:tc>
        <w:tc>
          <w:tcPr>
            <w:tcW w:w="3037" w:type="dxa"/>
            <w:tcBorders>
              <w:top w:val="single" w:color="auto" w:sz="4" w:space="0"/>
              <w:left w:val="single" w:color="000000" w:sz="8" w:space="0"/>
              <w:bottom w:val="single" w:color="000000" w:sz="8" w:space="0"/>
              <w:right w:val="single" w:color="000000" w:sz="8" w:space="0"/>
            </w:tcBorders>
            <w:shd w:val="clear" w:color="auto" w:fill="auto"/>
            <w:vAlign w:val="center"/>
          </w:tcPr>
          <w:p w14:paraId="3688C39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 xml:space="preserve">  </w:t>
            </w:r>
            <w:r>
              <w:rPr>
                <w:rFonts w:hint="default" w:ascii="Times New Roman" w:hAnsi="Times New Roman" w:eastAsia="仿宋_GB2312" w:cs="Times New Roman"/>
                <w:i w:val="0"/>
                <w:iCs w:val="0"/>
                <w:color w:val="000000"/>
                <w:kern w:val="0"/>
                <w:sz w:val="18"/>
                <w:szCs w:val="18"/>
                <w:u w:val="none"/>
                <w:lang w:val="en-US" w:eastAsia="zh-CN" w:bidi="ar"/>
              </w:rPr>
              <w:t>充分挖掘农牧业历史文化，围绕鄂尔多斯“草原村排”IP热度，开展专业设计，讲好品牌故事，形成鄂前旗羊肉完成的叙事链，大力提升现有区域公用品牌产业化聚集效应。品牌价值突破30亿元</w:t>
            </w:r>
            <w:r>
              <w:rPr>
                <w:rFonts w:hint="default" w:ascii="Times New Roman" w:hAnsi="Times New Roman" w:eastAsia="仿宋_GB2312" w:cs="Times New Roman"/>
                <w:i w:val="0"/>
                <w:iCs w:val="0"/>
                <w:color w:val="000000"/>
                <w:kern w:val="0"/>
                <w:sz w:val="18"/>
                <w:szCs w:val="18"/>
                <w:u w:val="none"/>
                <w:lang w:val="en-US" w:eastAsia="zh-CN" w:bidi="ar"/>
              </w:rPr>
              <w:t>。</w:t>
            </w:r>
          </w:p>
        </w:tc>
        <w:tc>
          <w:tcPr>
            <w:tcW w:w="1048" w:type="dxa"/>
            <w:tcBorders>
              <w:top w:val="single" w:color="auto" w:sz="4" w:space="0"/>
              <w:left w:val="single" w:color="000000" w:sz="8" w:space="0"/>
              <w:bottom w:val="single" w:color="000000" w:sz="8" w:space="0"/>
              <w:right w:val="single" w:color="000000" w:sz="8" w:space="0"/>
            </w:tcBorders>
            <w:shd w:val="clear" w:color="auto" w:fill="auto"/>
            <w:vAlign w:val="center"/>
          </w:tcPr>
          <w:p w14:paraId="5370B1E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政府投资</w:t>
            </w:r>
          </w:p>
        </w:tc>
        <w:tc>
          <w:tcPr>
            <w:tcW w:w="968" w:type="dxa"/>
            <w:tcBorders>
              <w:top w:val="single" w:color="auto" w:sz="4" w:space="0"/>
              <w:left w:val="single" w:color="000000" w:sz="8" w:space="0"/>
              <w:bottom w:val="single" w:color="000000" w:sz="8" w:space="0"/>
              <w:right w:val="single" w:color="000000" w:sz="8" w:space="0"/>
            </w:tcBorders>
            <w:shd w:val="clear" w:color="auto" w:fill="auto"/>
            <w:vAlign w:val="center"/>
          </w:tcPr>
          <w:p w14:paraId="45C91F3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200</w:t>
            </w:r>
            <w:r>
              <w:rPr>
                <w:rFonts w:hint="default" w:ascii="Times New Roman" w:hAnsi="Times New Roman" w:eastAsia="仿宋_GB2312" w:cs="Times New Roman"/>
                <w:i w:val="0"/>
                <w:iCs w:val="0"/>
                <w:color w:val="000000"/>
                <w:kern w:val="0"/>
                <w:sz w:val="18"/>
                <w:szCs w:val="18"/>
                <w:u w:val="none"/>
                <w:lang w:val="en-US" w:eastAsia="zh-CN" w:bidi="ar"/>
              </w:rPr>
              <w:t>0</w:t>
            </w:r>
          </w:p>
        </w:tc>
        <w:tc>
          <w:tcPr>
            <w:tcW w:w="677" w:type="dxa"/>
            <w:tcBorders>
              <w:top w:val="single" w:color="auto" w:sz="4" w:space="0"/>
              <w:left w:val="single" w:color="000000" w:sz="8" w:space="0"/>
              <w:bottom w:val="single" w:color="000000" w:sz="8" w:space="0"/>
              <w:right w:val="single" w:color="000000" w:sz="8" w:space="0"/>
            </w:tcBorders>
            <w:shd w:val="clear" w:color="auto" w:fill="auto"/>
            <w:vAlign w:val="center"/>
          </w:tcPr>
          <w:p w14:paraId="63464CC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2025-2030</w:t>
            </w:r>
          </w:p>
        </w:tc>
        <w:tc>
          <w:tcPr>
            <w:tcW w:w="795" w:type="dxa"/>
            <w:tcBorders>
              <w:top w:val="single" w:color="auto" w:sz="4" w:space="0"/>
              <w:left w:val="single" w:color="000000" w:sz="8" w:space="0"/>
              <w:bottom w:val="single" w:color="000000" w:sz="8" w:space="0"/>
              <w:right w:val="single" w:color="000000" w:sz="8" w:space="0"/>
            </w:tcBorders>
            <w:shd w:val="clear" w:color="auto" w:fill="auto"/>
            <w:vAlign w:val="center"/>
          </w:tcPr>
          <w:p w14:paraId="2452ED0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p>
        </w:tc>
      </w:tr>
      <w:tr w14:paraId="3ACE0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767" w:type="dxa"/>
            <w:tcBorders>
              <w:top w:val="nil"/>
              <w:left w:val="single" w:color="000000" w:sz="8" w:space="0"/>
              <w:bottom w:val="single" w:color="000000" w:sz="8" w:space="0"/>
              <w:right w:val="single" w:color="000000" w:sz="8" w:space="0"/>
            </w:tcBorders>
            <w:shd w:val="clear" w:color="auto" w:fill="auto"/>
            <w:vAlign w:val="center"/>
          </w:tcPr>
          <w:p w14:paraId="0DF9E64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2</w:t>
            </w:r>
          </w:p>
        </w:tc>
        <w:tc>
          <w:tcPr>
            <w:tcW w:w="1674" w:type="dxa"/>
            <w:tcBorders>
              <w:top w:val="nil"/>
              <w:left w:val="single" w:color="000000" w:sz="8" w:space="0"/>
              <w:bottom w:val="single" w:color="000000" w:sz="8" w:space="0"/>
              <w:right w:val="single" w:color="000000" w:sz="8" w:space="0"/>
            </w:tcBorders>
            <w:shd w:val="clear" w:color="auto" w:fill="auto"/>
            <w:vAlign w:val="center"/>
          </w:tcPr>
          <w:p w14:paraId="7C684FB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鄂托克前旗牛肉培育行动</w:t>
            </w:r>
          </w:p>
        </w:tc>
        <w:tc>
          <w:tcPr>
            <w:tcW w:w="3037" w:type="dxa"/>
            <w:tcBorders>
              <w:top w:val="nil"/>
              <w:left w:val="single" w:color="000000" w:sz="8" w:space="0"/>
              <w:bottom w:val="single" w:color="000000" w:sz="8" w:space="0"/>
              <w:right w:val="single" w:color="000000" w:sz="8" w:space="0"/>
            </w:tcBorders>
            <w:shd w:val="clear" w:color="auto" w:fill="auto"/>
            <w:vAlign w:val="center"/>
          </w:tcPr>
          <w:p w14:paraId="6AE3FAE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 xml:space="preserve">  </w:t>
            </w:r>
            <w:r>
              <w:rPr>
                <w:rFonts w:hint="default" w:ascii="Times New Roman" w:hAnsi="Times New Roman" w:eastAsia="仿宋_GB2312" w:cs="Times New Roman"/>
                <w:i w:val="0"/>
                <w:iCs w:val="0"/>
                <w:color w:val="000000"/>
                <w:kern w:val="0"/>
                <w:sz w:val="18"/>
                <w:szCs w:val="18"/>
                <w:u w:val="none"/>
                <w:lang w:val="en-US" w:eastAsia="zh-CN" w:bidi="ar"/>
              </w:rPr>
              <w:t>完成牛肉品牌建设，年内完成商标注册及召开品牌发布会。</w:t>
            </w:r>
          </w:p>
        </w:tc>
        <w:tc>
          <w:tcPr>
            <w:tcW w:w="1048" w:type="dxa"/>
            <w:tcBorders>
              <w:top w:val="nil"/>
              <w:left w:val="single" w:color="000000" w:sz="8" w:space="0"/>
              <w:bottom w:val="single" w:color="000000" w:sz="8" w:space="0"/>
              <w:right w:val="single" w:color="000000" w:sz="8" w:space="0"/>
            </w:tcBorders>
            <w:shd w:val="clear" w:color="auto" w:fill="auto"/>
            <w:vAlign w:val="center"/>
          </w:tcPr>
          <w:p w14:paraId="2C51339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政府投资</w:t>
            </w:r>
          </w:p>
        </w:tc>
        <w:tc>
          <w:tcPr>
            <w:tcW w:w="968" w:type="dxa"/>
            <w:tcBorders>
              <w:top w:val="nil"/>
              <w:left w:val="single" w:color="000000" w:sz="8" w:space="0"/>
              <w:bottom w:val="single" w:color="000000" w:sz="8" w:space="0"/>
              <w:right w:val="single" w:color="000000" w:sz="8" w:space="0"/>
            </w:tcBorders>
            <w:shd w:val="clear" w:color="auto" w:fill="auto"/>
            <w:vAlign w:val="center"/>
          </w:tcPr>
          <w:p w14:paraId="7B3C28B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60</w:t>
            </w:r>
            <w:r>
              <w:rPr>
                <w:rFonts w:hint="default" w:ascii="Times New Roman" w:hAnsi="Times New Roman" w:eastAsia="仿宋_GB2312" w:cs="Times New Roman"/>
                <w:i w:val="0"/>
                <w:iCs w:val="0"/>
                <w:color w:val="000000"/>
                <w:kern w:val="0"/>
                <w:sz w:val="18"/>
                <w:szCs w:val="18"/>
                <w:u w:val="none"/>
                <w:lang w:val="en-US" w:eastAsia="zh-CN" w:bidi="ar"/>
              </w:rPr>
              <w:t>0</w:t>
            </w:r>
          </w:p>
        </w:tc>
        <w:tc>
          <w:tcPr>
            <w:tcW w:w="677" w:type="dxa"/>
            <w:tcBorders>
              <w:top w:val="nil"/>
              <w:left w:val="single" w:color="000000" w:sz="8" w:space="0"/>
              <w:bottom w:val="single" w:color="000000" w:sz="8" w:space="0"/>
              <w:right w:val="single" w:color="000000" w:sz="8" w:space="0"/>
            </w:tcBorders>
            <w:shd w:val="clear" w:color="auto" w:fill="auto"/>
            <w:vAlign w:val="center"/>
          </w:tcPr>
          <w:p w14:paraId="2D84F47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2025-2030</w:t>
            </w:r>
          </w:p>
        </w:tc>
        <w:tc>
          <w:tcPr>
            <w:tcW w:w="795" w:type="dxa"/>
            <w:tcBorders>
              <w:top w:val="nil"/>
              <w:left w:val="single" w:color="000000" w:sz="8" w:space="0"/>
              <w:bottom w:val="single" w:color="000000" w:sz="8" w:space="0"/>
              <w:right w:val="single" w:color="000000" w:sz="8" w:space="0"/>
            </w:tcBorders>
            <w:shd w:val="clear" w:color="auto" w:fill="auto"/>
            <w:vAlign w:val="center"/>
          </w:tcPr>
          <w:p w14:paraId="78BA1B8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p>
        </w:tc>
      </w:tr>
      <w:tr w14:paraId="63AA5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767" w:type="dxa"/>
            <w:tcBorders>
              <w:top w:val="nil"/>
              <w:left w:val="single" w:color="000000" w:sz="8" w:space="0"/>
              <w:bottom w:val="single" w:color="000000" w:sz="8" w:space="0"/>
              <w:right w:val="single" w:color="000000" w:sz="8" w:space="0"/>
            </w:tcBorders>
            <w:shd w:val="clear" w:color="auto" w:fill="auto"/>
            <w:vAlign w:val="center"/>
          </w:tcPr>
          <w:p w14:paraId="216B1B2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1</w:t>
            </w:r>
          </w:p>
        </w:tc>
        <w:tc>
          <w:tcPr>
            <w:tcW w:w="1674" w:type="dxa"/>
            <w:tcBorders>
              <w:top w:val="nil"/>
              <w:left w:val="single" w:color="000000" w:sz="8" w:space="0"/>
              <w:bottom w:val="single" w:color="000000" w:sz="8" w:space="0"/>
              <w:right w:val="single" w:color="000000" w:sz="8" w:space="0"/>
            </w:tcBorders>
            <w:shd w:val="clear" w:color="auto" w:fill="auto"/>
            <w:vAlign w:val="center"/>
          </w:tcPr>
          <w:p w14:paraId="76170A3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管理体系建设</w:t>
            </w:r>
          </w:p>
        </w:tc>
        <w:tc>
          <w:tcPr>
            <w:tcW w:w="3037" w:type="dxa"/>
            <w:tcBorders>
              <w:top w:val="nil"/>
              <w:left w:val="single" w:color="000000" w:sz="8" w:space="0"/>
              <w:bottom w:val="single" w:color="000000" w:sz="8" w:space="0"/>
              <w:right w:val="single" w:color="000000" w:sz="8" w:space="0"/>
            </w:tcBorders>
            <w:shd w:val="clear" w:color="auto" w:fill="auto"/>
            <w:vAlign w:val="center"/>
          </w:tcPr>
          <w:p w14:paraId="7EA5D30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 xml:space="preserve">  </w:t>
            </w:r>
            <w:r>
              <w:rPr>
                <w:rFonts w:hint="default" w:ascii="Times New Roman" w:hAnsi="Times New Roman" w:eastAsia="仿宋_GB2312" w:cs="Times New Roman"/>
                <w:i w:val="0"/>
                <w:iCs w:val="0"/>
                <w:color w:val="000000"/>
                <w:kern w:val="0"/>
                <w:sz w:val="18"/>
                <w:szCs w:val="18"/>
                <w:u w:val="none"/>
                <w:lang w:val="en-US" w:eastAsia="zh-CN" w:bidi="ar"/>
              </w:rPr>
              <w:t>《鄂托克前旗农牧业区域公用品牌授权管理办法》；《鄂托克前旗农牧业区域公用品牌产品品控管理机制及保护实施细则》；《鄂托克前旗农牧业区域公用品牌认证标识应用管理规范》；《鄂托克前旗农牧业区域公用品牌授权协议》等管理体系建设</w:t>
            </w:r>
            <w:r>
              <w:rPr>
                <w:rFonts w:hint="default" w:ascii="Times New Roman" w:hAnsi="Times New Roman" w:eastAsia="仿宋_GB2312" w:cs="Times New Roman"/>
                <w:i w:val="0"/>
                <w:iCs w:val="0"/>
                <w:color w:val="000000"/>
                <w:kern w:val="0"/>
                <w:sz w:val="18"/>
                <w:szCs w:val="18"/>
                <w:u w:val="none"/>
                <w:lang w:val="en-US" w:eastAsia="zh-CN" w:bidi="ar"/>
              </w:rPr>
              <w:t>。</w:t>
            </w:r>
          </w:p>
        </w:tc>
        <w:tc>
          <w:tcPr>
            <w:tcW w:w="1048" w:type="dxa"/>
            <w:tcBorders>
              <w:top w:val="nil"/>
              <w:left w:val="single" w:color="000000" w:sz="8" w:space="0"/>
              <w:bottom w:val="single" w:color="000000" w:sz="8" w:space="0"/>
              <w:right w:val="single" w:color="000000" w:sz="8" w:space="0"/>
            </w:tcBorders>
            <w:shd w:val="clear" w:color="auto" w:fill="auto"/>
            <w:vAlign w:val="center"/>
          </w:tcPr>
          <w:p w14:paraId="3A630FE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政府投资</w:t>
            </w:r>
          </w:p>
        </w:tc>
        <w:tc>
          <w:tcPr>
            <w:tcW w:w="968" w:type="dxa"/>
            <w:tcBorders>
              <w:top w:val="nil"/>
              <w:left w:val="single" w:color="000000" w:sz="8" w:space="0"/>
              <w:bottom w:val="single" w:color="000000" w:sz="8" w:space="0"/>
              <w:right w:val="single" w:color="000000" w:sz="8" w:space="0"/>
            </w:tcBorders>
            <w:shd w:val="clear" w:color="auto" w:fill="auto"/>
            <w:vAlign w:val="center"/>
          </w:tcPr>
          <w:p w14:paraId="00C9794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15</w:t>
            </w:r>
            <w:r>
              <w:rPr>
                <w:rFonts w:hint="default" w:ascii="Times New Roman" w:hAnsi="Times New Roman" w:eastAsia="仿宋_GB2312" w:cs="Times New Roman"/>
                <w:i w:val="0"/>
                <w:iCs w:val="0"/>
                <w:color w:val="000000"/>
                <w:kern w:val="0"/>
                <w:sz w:val="18"/>
                <w:szCs w:val="18"/>
                <w:u w:val="none"/>
                <w:lang w:val="en-US" w:eastAsia="zh-CN" w:bidi="ar"/>
              </w:rPr>
              <w:t>0</w:t>
            </w:r>
          </w:p>
        </w:tc>
        <w:tc>
          <w:tcPr>
            <w:tcW w:w="677" w:type="dxa"/>
            <w:tcBorders>
              <w:top w:val="nil"/>
              <w:left w:val="single" w:color="000000" w:sz="8" w:space="0"/>
              <w:bottom w:val="single" w:color="000000" w:sz="8" w:space="0"/>
              <w:right w:val="single" w:color="000000" w:sz="8" w:space="0"/>
            </w:tcBorders>
            <w:shd w:val="clear" w:color="auto" w:fill="auto"/>
            <w:vAlign w:val="center"/>
          </w:tcPr>
          <w:p w14:paraId="03FDD44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2025-2030</w:t>
            </w:r>
          </w:p>
        </w:tc>
        <w:tc>
          <w:tcPr>
            <w:tcW w:w="795" w:type="dxa"/>
            <w:tcBorders>
              <w:top w:val="nil"/>
              <w:left w:val="single" w:color="000000" w:sz="8" w:space="0"/>
              <w:bottom w:val="single" w:color="000000" w:sz="8" w:space="0"/>
              <w:right w:val="single" w:color="000000" w:sz="8" w:space="0"/>
            </w:tcBorders>
            <w:shd w:val="clear" w:color="auto" w:fill="auto"/>
            <w:vAlign w:val="center"/>
          </w:tcPr>
          <w:p w14:paraId="7DAA837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p>
        </w:tc>
      </w:tr>
      <w:tr w14:paraId="061E2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4" w:hRule="atLeast"/>
        </w:trPr>
        <w:tc>
          <w:tcPr>
            <w:tcW w:w="767" w:type="dxa"/>
            <w:tcBorders>
              <w:top w:val="nil"/>
              <w:left w:val="single" w:color="000000" w:sz="8" w:space="0"/>
              <w:bottom w:val="single" w:color="000000" w:sz="8" w:space="0"/>
              <w:right w:val="single" w:color="000000" w:sz="8" w:space="0"/>
            </w:tcBorders>
            <w:shd w:val="clear" w:color="auto" w:fill="auto"/>
            <w:vAlign w:val="center"/>
          </w:tcPr>
          <w:p w14:paraId="5CB2C06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2</w:t>
            </w:r>
          </w:p>
        </w:tc>
        <w:tc>
          <w:tcPr>
            <w:tcW w:w="1674" w:type="dxa"/>
            <w:tcBorders>
              <w:top w:val="nil"/>
              <w:left w:val="single" w:color="000000" w:sz="8" w:space="0"/>
              <w:bottom w:val="single" w:color="000000" w:sz="8" w:space="0"/>
              <w:right w:val="single" w:color="000000" w:sz="8" w:space="0"/>
            </w:tcBorders>
            <w:shd w:val="clear" w:color="auto" w:fill="auto"/>
            <w:vAlign w:val="center"/>
          </w:tcPr>
          <w:p w14:paraId="3BD4945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标准化体系建设</w:t>
            </w:r>
          </w:p>
        </w:tc>
        <w:tc>
          <w:tcPr>
            <w:tcW w:w="3037" w:type="dxa"/>
            <w:tcBorders>
              <w:top w:val="nil"/>
              <w:left w:val="single" w:color="000000" w:sz="8" w:space="0"/>
              <w:bottom w:val="single" w:color="000000" w:sz="8" w:space="0"/>
              <w:right w:val="single" w:color="000000" w:sz="8" w:space="0"/>
            </w:tcBorders>
            <w:shd w:val="clear" w:color="auto" w:fill="auto"/>
            <w:vAlign w:val="center"/>
          </w:tcPr>
          <w:p w14:paraId="142CDD7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针对全旗肉羊、肉牛、绒山羊、果蔬、饲草等主导产业，制定鄂前旗羊肉、城川辣椒等3个重点品牌生产标准，形成产品标准综合体。</w:t>
            </w:r>
          </w:p>
        </w:tc>
        <w:tc>
          <w:tcPr>
            <w:tcW w:w="1048" w:type="dxa"/>
            <w:tcBorders>
              <w:top w:val="nil"/>
              <w:left w:val="single" w:color="000000" w:sz="8" w:space="0"/>
              <w:bottom w:val="single" w:color="000000" w:sz="8" w:space="0"/>
              <w:right w:val="single" w:color="000000" w:sz="8" w:space="0"/>
            </w:tcBorders>
            <w:shd w:val="clear" w:color="auto" w:fill="auto"/>
            <w:vAlign w:val="center"/>
          </w:tcPr>
          <w:p w14:paraId="6E64E07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政府投资</w:t>
            </w:r>
          </w:p>
        </w:tc>
        <w:tc>
          <w:tcPr>
            <w:tcW w:w="968" w:type="dxa"/>
            <w:tcBorders>
              <w:top w:val="nil"/>
              <w:left w:val="single" w:color="000000" w:sz="8" w:space="0"/>
              <w:bottom w:val="single" w:color="000000" w:sz="8" w:space="0"/>
              <w:right w:val="single" w:color="000000" w:sz="8" w:space="0"/>
            </w:tcBorders>
            <w:shd w:val="clear" w:color="auto" w:fill="auto"/>
            <w:vAlign w:val="center"/>
          </w:tcPr>
          <w:p w14:paraId="676EDBD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45</w:t>
            </w:r>
            <w:r>
              <w:rPr>
                <w:rFonts w:hint="default" w:ascii="Times New Roman" w:hAnsi="Times New Roman" w:eastAsia="仿宋_GB2312" w:cs="Times New Roman"/>
                <w:i w:val="0"/>
                <w:iCs w:val="0"/>
                <w:color w:val="000000"/>
                <w:kern w:val="0"/>
                <w:sz w:val="18"/>
                <w:szCs w:val="18"/>
                <w:u w:val="none"/>
                <w:lang w:val="en-US" w:eastAsia="zh-CN" w:bidi="ar"/>
              </w:rPr>
              <w:t>0</w:t>
            </w:r>
          </w:p>
        </w:tc>
        <w:tc>
          <w:tcPr>
            <w:tcW w:w="677" w:type="dxa"/>
            <w:tcBorders>
              <w:top w:val="nil"/>
              <w:left w:val="single" w:color="000000" w:sz="8" w:space="0"/>
              <w:bottom w:val="single" w:color="000000" w:sz="8" w:space="0"/>
              <w:right w:val="single" w:color="000000" w:sz="8" w:space="0"/>
            </w:tcBorders>
            <w:shd w:val="clear" w:color="auto" w:fill="auto"/>
            <w:vAlign w:val="center"/>
          </w:tcPr>
          <w:p w14:paraId="6F22BEA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2025-2030</w:t>
            </w:r>
          </w:p>
        </w:tc>
        <w:tc>
          <w:tcPr>
            <w:tcW w:w="795" w:type="dxa"/>
            <w:tcBorders>
              <w:top w:val="nil"/>
              <w:left w:val="single" w:color="000000" w:sz="8" w:space="0"/>
              <w:bottom w:val="single" w:color="000000" w:sz="8" w:space="0"/>
              <w:right w:val="single" w:color="000000" w:sz="8" w:space="0"/>
            </w:tcBorders>
            <w:shd w:val="clear" w:color="auto" w:fill="auto"/>
            <w:vAlign w:val="center"/>
          </w:tcPr>
          <w:p w14:paraId="4ED2727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p>
        </w:tc>
      </w:tr>
      <w:tr w14:paraId="01E3A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767" w:type="dxa"/>
            <w:tcBorders>
              <w:top w:val="nil"/>
              <w:left w:val="single" w:color="000000" w:sz="8" w:space="0"/>
              <w:bottom w:val="single" w:color="000000" w:sz="8" w:space="0"/>
              <w:right w:val="single" w:color="000000" w:sz="8" w:space="0"/>
            </w:tcBorders>
            <w:shd w:val="clear" w:color="auto" w:fill="auto"/>
            <w:vAlign w:val="center"/>
          </w:tcPr>
          <w:p w14:paraId="74EC0F5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3</w:t>
            </w:r>
          </w:p>
        </w:tc>
        <w:tc>
          <w:tcPr>
            <w:tcW w:w="1674" w:type="dxa"/>
            <w:tcBorders>
              <w:top w:val="nil"/>
              <w:left w:val="single" w:color="000000" w:sz="8" w:space="0"/>
              <w:bottom w:val="single" w:color="000000" w:sz="8" w:space="0"/>
              <w:right w:val="single" w:color="000000" w:sz="8" w:space="0"/>
            </w:tcBorders>
            <w:shd w:val="clear" w:color="auto" w:fill="auto"/>
            <w:vAlign w:val="center"/>
          </w:tcPr>
          <w:p w14:paraId="61BE612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产品质量认证</w:t>
            </w:r>
          </w:p>
        </w:tc>
        <w:tc>
          <w:tcPr>
            <w:tcW w:w="3037" w:type="dxa"/>
            <w:tcBorders>
              <w:top w:val="nil"/>
              <w:left w:val="single" w:color="000000" w:sz="8" w:space="0"/>
              <w:bottom w:val="single" w:color="000000" w:sz="8" w:space="0"/>
              <w:right w:val="single" w:color="000000" w:sz="8" w:space="0"/>
            </w:tcBorders>
            <w:shd w:val="clear" w:color="auto" w:fill="auto"/>
            <w:vAlign w:val="center"/>
          </w:tcPr>
          <w:p w14:paraId="29BB88A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认证绿色、有机产品6个，认证名特优新3个，认证有机草牧场560万亩、牛1万头、羊48万只。</w:t>
            </w:r>
          </w:p>
        </w:tc>
        <w:tc>
          <w:tcPr>
            <w:tcW w:w="1048" w:type="dxa"/>
            <w:tcBorders>
              <w:top w:val="nil"/>
              <w:left w:val="single" w:color="000000" w:sz="8" w:space="0"/>
              <w:bottom w:val="single" w:color="000000" w:sz="8" w:space="0"/>
              <w:right w:val="single" w:color="000000" w:sz="8" w:space="0"/>
            </w:tcBorders>
            <w:shd w:val="clear" w:color="auto" w:fill="auto"/>
            <w:vAlign w:val="center"/>
          </w:tcPr>
          <w:p w14:paraId="6CC572C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政府投资</w:t>
            </w:r>
          </w:p>
        </w:tc>
        <w:tc>
          <w:tcPr>
            <w:tcW w:w="968" w:type="dxa"/>
            <w:tcBorders>
              <w:top w:val="nil"/>
              <w:left w:val="single" w:color="000000" w:sz="8" w:space="0"/>
              <w:bottom w:val="single" w:color="000000" w:sz="8" w:space="0"/>
              <w:right w:val="single" w:color="000000" w:sz="8" w:space="0"/>
            </w:tcBorders>
            <w:shd w:val="clear" w:color="auto" w:fill="auto"/>
            <w:vAlign w:val="center"/>
          </w:tcPr>
          <w:p w14:paraId="0147E62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40</w:t>
            </w:r>
            <w:r>
              <w:rPr>
                <w:rFonts w:hint="default" w:ascii="Times New Roman" w:hAnsi="Times New Roman" w:eastAsia="仿宋_GB2312" w:cs="Times New Roman"/>
                <w:i w:val="0"/>
                <w:iCs w:val="0"/>
                <w:color w:val="000000"/>
                <w:kern w:val="0"/>
                <w:sz w:val="18"/>
                <w:szCs w:val="18"/>
                <w:u w:val="none"/>
                <w:lang w:val="en-US" w:eastAsia="zh-CN" w:bidi="ar"/>
              </w:rPr>
              <w:t>0</w:t>
            </w:r>
          </w:p>
        </w:tc>
        <w:tc>
          <w:tcPr>
            <w:tcW w:w="677" w:type="dxa"/>
            <w:tcBorders>
              <w:top w:val="nil"/>
              <w:left w:val="single" w:color="000000" w:sz="8" w:space="0"/>
              <w:bottom w:val="single" w:color="000000" w:sz="8" w:space="0"/>
              <w:right w:val="single" w:color="000000" w:sz="8" w:space="0"/>
            </w:tcBorders>
            <w:shd w:val="clear" w:color="auto" w:fill="auto"/>
            <w:vAlign w:val="center"/>
          </w:tcPr>
          <w:p w14:paraId="001972E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2025-2030</w:t>
            </w:r>
          </w:p>
        </w:tc>
        <w:tc>
          <w:tcPr>
            <w:tcW w:w="795" w:type="dxa"/>
            <w:tcBorders>
              <w:top w:val="nil"/>
              <w:left w:val="single" w:color="000000" w:sz="8" w:space="0"/>
              <w:bottom w:val="single" w:color="000000" w:sz="8" w:space="0"/>
              <w:right w:val="single" w:color="000000" w:sz="8" w:space="0"/>
            </w:tcBorders>
            <w:shd w:val="clear" w:color="auto" w:fill="auto"/>
            <w:vAlign w:val="center"/>
          </w:tcPr>
          <w:p w14:paraId="35DCA81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p>
        </w:tc>
      </w:tr>
      <w:tr w14:paraId="05190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767" w:type="dxa"/>
            <w:tcBorders>
              <w:top w:val="nil"/>
              <w:left w:val="single" w:color="000000" w:sz="8" w:space="0"/>
              <w:bottom w:val="single" w:color="000000" w:sz="8" w:space="0"/>
              <w:right w:val="single" w:color="000000" w:sz="8" w:space="0"/>
            </w:tcBorders>
            <w:shd w:val="clear" w:color="auto" w:fill="auto"/>
            <w:vAlign w:val="center"/>
          </w:tcPr>
          <w:p w14:paraId="3A4487A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4</w:t>
            </w:r>
          </w:p>
        </w:tc>
        <w:tc>
          <w:tcPr>
            <w:tcW w:w="1674" w:type="dxa"/>
            <w:tcBorders>
              <w:top w:val="nil"/>
              <w:left w:val="single" w:color="000000" w:sz="8" w:space="0"/>
              <w:bottom w:val="single" w:color="000000" w:sz="8" w:space="0"/>
              <w:right w:val="single" w:color="000000" w:sz="8" w:space="0"/>
            </w:tcBorders>
            <w:shd w:val="clear" w:color="auto" w:fill="auto"/>
            <w:vAlign w:val="center"/>
          </w:tcPr>
          <w:p w14:paraId="3715811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品牌形象塑造</w:t>
            </w:r>
          </w:p>
        </w:tc>
        <w:tc>
          <w:tcPr>
            <w:tcW w:w="3037" w:type="dxa"/>
            <w:tcBorders>
              <w:top w:val="nil"/>
              <w:left w:val="single" w:color="000000" w:sz="8" w:space="0"/>
              <w:bottom w:val="single" w:color="000000" w:sz="8" w:space="0"/>
              <w:right w:val="single" w:color="000000" w:sz="8" w:space="0"/>
            </w:tcBorders>
            <w:shd w:val="clear" w:color="auto" w:fill="auto"/>
            <w:vAlign w:val="center"/>
          </w:tcPr>
          <w:p w14:paraId="3775B02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 xml:space="preserve">  </w:t>
            </w:r>
            <w:r>
              <w:rPr>
                <w:rFonts w:hint="default" w:ascii="Times New Roman" w:hAnsi="Times New Roman" w:eastAsia="仿宋_GB2312" w:cs="Times New Roman"/>
                <w:i w:val="0"/>
                <w:iCs w:val="0"/>
                <w:color w:val="000000"/>
                <w:kern w:val="0"/>
                <w:sz w:val="18"/>
                <w:szCs w:val="18"/>
                <w:u w:val="none"/>
                <w:lang w:val="en-US" w:eastAsia="zh-CN" w:bidi="ar"/>
              </w:rPr>
              <w:t>设计鄂托克前旗农牧业区域公用品牌形象，包括品牌LOGO、卡通形象、产品包装，并做版权登记保护。</w:t>
            </w:r>
          </w:p>
        </w:tc>
        <w:tc>
          <w:tcPr>
            <w:tcW w:w="1048" w:type="dxa"/>
            <w:tcBorders>
              <w:top w:val="nil"/>
              <w:left w:val="single" w:color="000000" w:sz="8" w:space="0"/>
              <w:bottom w:val="single" w:color="000000" w:sz="8" w:space="0"/>
              <w:right w:val="single" w:color="000000" w:sz="8" w:space="0"/>
            </w:tcBorders>
            <w:shd w:val="clear" w:color="auto" w:fill="auto"/>
            <w:vAlign w:val="center"/>
          </w:tcPr>
          <w:p w14:paraId="4761D59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政府投资</w:t>
            </w:r>
          </w:p>
        </w:tc>
        <w:tc>
          <w:tcPr>
            <w:tcW w:w="968" w:type="dxa"/>
            <w:tcBorders>
              <w:top w:val="nil"/>
              <w:left w:val="single" w:color="000000" w:sz="8" w:space="0"/>
              <w:bottom w:val="single" w:color="000000" w:sz="8" w:space="0"/>
              <w:right w:val="single" w:color="000000" w:sz="8" w:space="0"/>
            </w:tcBorders>
            <w:shd w:val="clear" w:color="auto" w:fill="auto"/>
            <w:vAlign w:val="center"/>
          </w:tcPr>
          <w:p w14:paraId="0DC3A06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30</w:t>
            </w:r>
            <w:r>
              <w:rPr>
                <w:rFonts w:hint="default" w:ascii="Times New Roman" w:hAnsi="Times New Roman" w:eastAsia="仿宋_GB2312" w:cs="Times New Roman"/>
                <w:i w:val="0"/>
                <w:iCs w:val="0"/>
                <w:color w:val="000000"/>
                <w:kern w:val="0"/>
                <w:sz w:val="18"/>
                <w:szCs w:val="18"/>
                <w:u w:val="none"/>
                <w:lang w:val="en-US" w:eastAsia="zh-CN" w:bidi="ar"/>
              </w:rPr>
              <w:t>0</w:t>
            </w:r>
          </w:p>
        </w:tc>
        <w:tc>
          <w:tcPr>
            <w:tcW w:w="677" w:type="dxa"/>
            <w:tcBorders>
              <w:top w:val="nil"/>
              <w:left w:val="single" w:color="000000" w:sz="8" w:space="0"/>
              <w:bottom w:val="single" w:color="000000" w:sz="8" w:space="0"/>
              <w:right w:val="single" w:color="000000" w:sz="8" w:space="0"/>
            </w:tcBorders>
            <w:shd w:val="clear" w:color="auto" w:fill="auto"/>
            <w:vAlign w:val="center"/>
          </w:tcPr>
          <w:p w14:paraId="712AFAD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2025-2030</w:t>
            </w:r>
          </w:p>
        </w:tc>
        <w:tc>
          <w:tcPr>
            <w:tcW w:w="795" w:type="dxa"/>
            <w:tcBorders>
              <w:top w:val="nil"/>
              <w:left w:val="single" w:color="000000" w:sz="8" w:space="0"/>
              <w:bottom w:val="single" w:color="000000" w:sz="8" w:space="0"/>
              <w:right w:val="single" w:color="000000" w:sz="8" w:space="0"/>
            </w:tcBorders>
            <w:shd w:val="clear" w:color="auto" w:fill="auto"/>
            <w:vAlign w:val="center"/>
          </w:tcPr>
          <w:p w14:paraId="70C032D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p>
        </w:tc>
      </w:tr>
      <w:tr w14:paraId="51392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767" w:type="dxa"/>
            <w:tcBorders>
              <w:top w:val="nil"/>
              <w:left w:val="single" w:color="000000" w:sz="8" w:space="0"/>
              <w:bottom w:val="single" w:color="000000" w:sz="8" w:space="0"/>
              <w:right w:val="single" w:color="000000" w:sz="8" w:space="0"/>
            </w:tcBorders>
            <w:shd w:val="clear" w:color="auto" w:fill="auto"/>
            <w:vAlign w:val="center"/>
          </w:tcPr>
          <w:p w14:paraId="6AB3444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5</w:t>
            </w:r>
          </w:p>
        </w:tc>
        <w:tc>
          <w:tcPr>
            <w:tcW w:w="1674" w:type="dxa"/>
            <w:tcBorders>
              <w:top w:val="nil"/>
              <w:left w:val="single" w:color="000000" w:sz="8" w:space="0"/>
              <w:bottom w:val="single" w:color="000000" w:sz="8" w:space="0"/>
              <w:right w:val="single" w:color="000000" w:sz="8" w:space="0"/>
            </w:tcBorders>
            <w:shd w:val="clear" w:color="auto" w:fill="auto"/>
            <w:vAlign w:val="center"/>
          </w:tcPr>
          <w:p w14:paraId="05E32AD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区域品牌广告宣传</w:t>
            </w:r>
          </w:p>
        </w:tc>
        <w:tc>
          <w:tcPr>
            <w:tcW w:w="3037" w:type="dxa"/>
            <w:tcBorders>
              <w:top w:val="nil"/>
              <w:left w:val="single" w:color="000000" w:sz="8" w:space="0"/>
              <w:bottom w:val="single" w:color="000000" w:sz="8" w:space="0"/>
              <w:right w:val="single" w:color="000000" w:sz="8" w:space="0"/>
            </w:tcBorders>
            <w:shd w:val="clear" w:color="auto" w:fill="auto"/>
            <w:vAlign w:val="center"/>
          </w:tcPr>
          <w:p w14:paraId="1DB1F6B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 xml:space="preserve">  </w:t>
            </w:r>
            <w:r>
              <w:rPr>
                <w:rFonts w:hint="default" w:ascii="Times New Roman" w:hAnsi="Times New Roman" w:eastAsia="仿宋_GB2312" w:cs="Times New Roman"/>
                <w:i w:val="0"/>
                <w:iCs w:val="0"/>
                <w:color w:val="000000"/>
                <w:kern w:val="0"/>
                <w:sz w:val="18"/>
                <w:szCs w:val="18"/>
                <w:u w:val="none"/>
                <w:lang w:val="en-US" w:eastAsia="zh-CN" w:bidi="ar"/>
              </w:rPr>
              <w:t>在央视、北京、河南、内蒙古等电视台，在黄金时段展播品牌广告，辅以</w:t>
            </w:r>
            <w:r>
              <w:rPr>
                <w:rFonts w:hint="default" w:ascii="Times New Roman" w:hAnsi="Times New Roman" w:eastAsia="仿宋_GB2312" w:cs="Times New Roman"/>
                <w:i w:val="0"/>
                <w:iCs w:val="0"/>
                <w:color w:val="000000"/>
                <w:kern w:val="0"/>
                <w:sz w:val="18"/>
                <w:szCs w:val="18"/>
                <w:u w:val="none"/>
                <w:lang w:val="en-US" w:eastAsia="zh-CN" w:bidi="ar"/>
              </w:rPr>
              <w:t>《人民日报》</w:t>
            </w:r>
            <w:r>
              <w:rPr>
                <w:rFonts w:hint="default" w:ascii="Times New Roman" w:hAnsi="Times New Roman" w:eastAsia="仿宋_GB2312" w:cs="Times New Roman"/>
                <w:i w:val="0"/>
                <w:iCs w:val="0"/>
                <w:color w:val="000000"/>
                <w:kern w:val="0"/>
                <w:sz w:val="18"/>
                <w:szCs w:val="18"/>
                <w:u w:val="none"/>
                <w:lang w:val="en-US" w:eastAsia="zh-CN" w:bidi="ar"/>
              </w:rPr>
              <w:t>、新华社、</w:t>
            </w:r>
            <w:r>
              <w:rPr>
                <w:rFonts w:hint="default" w:ascii="Times New Roman" w:hAnsi="Times New Roman" w:eastAsia="仿宋_GB2312" w:cs="Times New Roman"/>
                <w:i w:val="0"/>
                <w:iCs w:val="0"/>
                <w:color w:val="000000"/>
                <w:kern w:val="0"/>
                <w:sz w:val="18"/>
                <w:szCs w:val="18"/>
                <w:u w:val="none"/>
                <w:lang w:val="en-US" w:eastAsia="zh-CN" w:bidi="ar"/>
              </w:rPr>
              <w:t>《光明日报》</w:t>
            </w:r>
            <w:r>
              <w:rPr>
                <w:rFonts w:hint="default" w:ascii="Times New Roman" w:hAnsi="Times New Roman" w:eastAsia="仿宋_GB2312" w:cs="Times New Roman"/>
                <w:i w:val="0"/>
                <w:iCs w:val="0"/>
                <w:color w:val="000000"/>
                <w:kern w:val="0"/>
                <w:sz w:val="18"/>
                <w:szCs w:val="18"/>
                <w:u w:val="none"/>
                <w:lang w:val="en-US" w:eastAsia="zh-CN" w:bidi="ar"/>
              </w:rPr>
              <w:t>、经济日报等党媒为品牌品质背书，同步以地标、机场、高铁、地铁、公交等户外媒体做场景营销，在重要时间点精准投放。</w:t>
            </w:r>
          </w:p>
          <w:p w14:paraId="175F8ED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p>
        </w:tc>
        <w:tc>
          <w:tcPr>
            <w:tcW w:w="1048" w:type="dxa"/>
            <w:tcBorders>
              <w:top w:val="nil"/>
              <w:left w:val="single" w:color="000000" w:sz="8" w:space="0"/>
              <w:bottom w:val="single" w:color="000000" w:sz="8" w:space="0"/>
              <w:right w:val="single" w:color="000000" w:sz="8" w:space="0"/>
            </w:tcBorders>
            <w:shd w:val="clear" w:color="auto" w:fill="auto"/>
            <w:vAlign w:val="center"/>
          </w:tcPr>
          <w:p w14:paraId="46CF111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政府投资</w:t>
            </w:r>
          </w:p>
        </w:tc>
        <w:tc>
          <w:tcPr>
            <w:tcW w:w="968" w:type="dxa"/>
            <w:tcBorders>
              <w:top w:val="nil"/>
              <w:left w:val="single" w:color="000000" w:sz="8" w:space="0"/>
              <w:bottom w:val="single" w:color="000000" w:sz="8" w:space="0"/>
              <w:right w:val="single" w:color="000000" w:sz="8" w:space="0"/>
            </w:tcBorders>
            <w:shd w:val="clear" w:color="auto" w:fill="auto"/>
            <w:vAlign w:val="center"/>
          </w:tcPr>
          <w:p w14:paraId="3B00923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100</w:t>
            </w:r>
            <w:r>
              <w:rPr>
                <w:rFonts w:hint="default" w:ascii="Times New Roman" w:hAnsi="Times New Roman" w:eastAsia="仿宋_GB2312" w:cs="Times New Roman"/>
                <w:i w:val="0"/>
                <w:iCs w:val="0"/>
                <w:color w:val="000000"/>
                <w:kern w:val="0"/>
                <w:sz w:val="18"/>
                <w:szCs w:val="18"/>
                <w:u w:val="none"/>
                <w:lang w:val="en-US" w:eastAsia="zh-CN" w:bidi="ar"/>
              </w:rPr>
              <w:t>0</w:t>
            </w:r>
          </w:p>
        </w:tc>
        <w:tc>
          <w:tcPr>
            <w:tcW w:w="677" w:type="dxa"/>
            <w:tcBorders>
              <w:top w:val="nil"/>
              <w:left w:val="single" w:color="000000" w:sz="8" w:space="0"/>
              <w:bottom w:val="single" w:color="000000" w:sz="8" w:space="0"/>
              <w:right w:val="single" w:color="000000" w:sz="8" w:space="0"/>
            </w:tcBorders>
            <w:shd w:val="clear" w:color="auto" w:fill="auto"/>
            <w:vAlign w:val="center"/>
          </w:tcPr>
          <w:p w14:paraId="08CF725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2025-2030</w:t>
            </w:r>
          </w:p>
        </w:tc>
        <w:tc>
          <w:tcPr>
            <w:tcW w:w="795" w:type="dxa"/>
            <w:tcBorders>
              <w:top w:val="nil"/>
              <w:left w:val="single" w:color="000000" w:sz="8" w:space="0"/>
              <w:bottom w:val="single" w:color="000000" w:sz="8" w:space="0"/>
              <w:right w:val="single" w:color="000000" w:sz="8" w:space="0"/>
            </w:tcBorders>
            <w:shd w:val="clear" w:color="auto" w:fill="auto"/>
            <w:vAlign w:val="center"/>
          </w:tcPr>
          <w:p w14:paraId="20D45C7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p>
        </w:tc>
      </w:tr>
      <w:tr w14:paraId="291DD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767" w:type="dxa"/>
            <w:tcBorders>
              <w:top w:val="nil"/>
              <w:left w:val="single" w:color="000000" w:sz="8" w:space="0"/>
              <w:bottom w:val="single" w:color="000000" w:sz="8" w:space="0"/>
              <w:right w:val="single" w:color="000000" w:sz="8" w:space="0"/>
            </w:tcBorders>
            <w:shd w:val="clear" w:color="auto" w:fill="auto"/>
            <w:vAlign w:val="center"/>
          </w:tcPr>
          <w:p w14:paraId="194254C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6</w:t>
            </w:r>
          </w:p>
        </w:tc>
        <w:tc>
          <w:tcPr>
            <w:tcW w:w="1674" w:type="dxa"/>
            <w:tcBorders>
              <w:top w:val="nil"/>
              <w:left w:val="single" w:color="000000" w:sz="8" w:space="0"/>
              <w:bottom w:val="single" w:color="000000" w:sz="8" w:space="0"/>
              <w:right w:val="single" w:color="000000" w:sz="8" w:space="0"/>
            </w:tcBorders>
            <w:shd w:val="clear" w:color="auto" w:fill="auto"/>
            <w:vAlign w:val="center"/>
          </w:tcPr>
          <w:p w14:paraId="698AD9E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新媒体运营</w:t>
            </w:r>
          </w:p>
        </w:tc>
        <w:tc>
          <w:tcPr>
            <w:tcW w:w="3037" w:type="dxa"/>
            <w:tcBorders>
              <w:top w:val="nil"/>
              <w:left w:val="single" w:color="000000" w:sz="8" w:space="0"/>
              <w:bottom w:val="single" w:color="000000" w:sz="8" w:space="0"/>
              <w:right w:val="single" w:color="000000" w:sz="8" w:space="0"/>
            </w:tcBorders>
            <w:shd w:val="clear" w:color="auto" w:fill="auto"/>
            <w:vAlign w:val="center"/>
          </w:tcPr>
          <w:p w14:paraId="7034FED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 xml:space="preserve">  </w:t>
            </w:r>
            <w:r>
              <w:rPr>
                <w:rFonts w:hint="default" w:ascii="Times New Roman" w:hAnsi="Times New Roman" w:eastAsia="仿宋_GB2312" w:cs="Times New Roman"/>
                <w:i w:val="0"/>
                <w:iCs w:val="0"/>
                <w:color w:val="000000"/>
                <w:kern w:val="0"/>
                <w:sz w:val="18"/>
                <w:szCs w:val="18"/>
                <w:u w:val="none"/>
                <w:lang w:val="en-US" w:eastAsia="zh-CN" w:bidi="ar"/>
              </w:rPr>
              <w:t>构建以微信公众号/视频号、抖音、微博等平台为核心的融媒体传播矩阵，更新频率每周不少于2条、全年不少于100条，目标粉丝10000+。</w:t>
            </w:r>
          </w:p>
        </w:tc>
        <w:tc>
          <w:tcPr>
            <w:tcW w:w="1048" w:type="dxa"/>
            <w:tcBorders>
              <w:top w:val="nil"/>
              <w:left w:val="single" w:color="000000" w:sz="8" w:space="0"/>
              <w:bottom w:val="single" w:color="000000" w:sz="8" w:space="0"/>
              <w:right w:val="single" w:color="000000" w:sz="8" w:space="0"/>
            </w:tcBorders>
            <w:shd w:val="clear" w:color="auto" w:fill="auto"/>
            <w:vAlign w:val="center"/>
          </w:tcPr>
          <w:p w14:paraId="49F0816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政府投资</w:t>
            </w:r>
          </w:p>
        </w:tc>
        <w:tc>
          <w:tcPr>
            <w:tcW w:w="968" w:type="dxa"/>
            <w:tcBorders>
              <w:top w:val="nil"/>
              <w:left w:val="single" w:color="000000" w:sz="8" w:space="0"/>
              <w:bottom w:val="single" w:color="000000" w:sz="8" w:space="0"/>
              <w:right w:val="single" w:color="000000" w:sz="8" w:space="0"/>
            </w:tcBorders>
            <w:shd w:val="clear" w:color="auto" w:fill="auto"/>
            <w:vAlign w:val="center"/>
          </w:tcPr>
          <w:p w14:paraId="027C7D6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200</w:t>
            </w:r>
            <w:r>
              <w:rPr>
                <w:rFonts w:hint="default" w:ascii="Times New Roman" w:hAnsi="Times New Roman" w:eastAsia="仿宋_GB2312" w:cs="Times New Roman"/>
                <w:i w:val="0"/>
                <w:iCs w:val="0"/>
                <w:color w:val="000000"/>
                <w:kern w:val="0"/>
                <w:sz w:val="18"/>
                <w:szCs w:val="18"/>
                <w:u w:val="none"/>
                <w:lang w:val="en-US" w:eastAsia="zh-CN" w:bidi="ar"/>
              </w:rPr>
              <w:t>0</w:t>
            </w:r>
          </w:p>
        </w:tc>
        <w:tc>
          <w:tcPr>
            <w:tcW w:w="677" w:type="dxa"/>
            <w:tcBorders>
              <w:top w:val="nil"/>
              <w:left w:val="single" w:color="000000" w:sz="8" w:space="0"/>
              <w:bottom w:val="single" w:color="000000" w:sz="8" w:space="0"/>
              <w:right w:val="single" w:color="000000" w:sz="8" w:space="0"/>
            </w:tcBorders>
            <w:shd w:val="clear" w:color="auto" w:fill="auto"/>
            <w:vAlign w:val="center"/>
          </w:tcPr>
          <w:p w14:paraId="5C03074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2025-2030</w:t>
            </w:r>
          </w:p>
        </w:tc>
        <w:tc>
          <w:tcPr>
            <w:tcW w:w="795" w:type="dxa"/>
            <w:tcBorders>
              <w:top w:val="nil"/>
              <w:left w:val="single" w:color="000000" w:sz="8" w:space="0"/>
              <w:bottom w:val="single" w:color="000000" w:sz="8" w:space="0"/>
              <w:right w:val="single" w:color="000000" w:sz="8" w:space="0"/>
            </w:tcBorders>
            <w:shd w:val="clear" w:color="auto" w:fill="auto"/>
            <w:vAlign w:val="center"/>
          </w:tcPr>
          <w:p w14:paraId="56276F1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p>
        </w:tc>
      </w:tr>
      <w:tr w14:paraId="7B9C3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767" w:type="dxa"/>
            <w:tcBorders>
              <w:top w:val="nil"/>
              <w:left w:val="single" w:color="000000" w:sz="8" w:space="0"/>
              <w:bottom w:val="single" w:color="000000" w:sz="8" w:space="0"/>
              <w:right w:val="single" w:color="000000" w:sz="8" w:space="0"/>
            </w:tcBorders>
            <w:shd w:val="clear" w:color="auto" w:fill="auto"/>
            <w:vAlign w:val="center"/>
          </w:tcPr>
          <w:p w14:paraId="7BC6F18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7</w:t>
            </w:r>
          </w:p>
        </w:tc>
        <w:tc>
          <w:tcPr>
            <w:tcW w:w="1674" w:type="dxa"/>
            <w:tcBorders>
              <w:top w:val="nil"/>
              <w:left w:val="single" w:color="000000" w:sz="8" w:space="0"/>
              <w:bottom w:val="single" w:color="000000" w:sz="8" w:space="0"/>
              <w:right w:val="single" w:color="000000" w:sz="8" w:space="0"/>
            </w:tcBorders>
            <w:shd w:val="clear" w:color="auto" w:fill="auto"/>
            <w:vAlign w:val="center"/>
          </w:tcPr>
          <w:p w14:paraId="3D7FE4B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区域品牌活动推广</w:t>
            </w:r>
          </w:p>
        </w:tc>
        <w:tc>
          <w:tcPr>
            <w:tcW w:w="3037" w:type="dxa"/>
            <w:tcBorders>
              <w:top w:val="nil"/>
              <w:left w:val="single" w:color="000000" w:sz="8" w:space="0"/>
              <w:bottom w:val="single" w:color="000000" w:sz="8" w:space="0"/>
              <w:right w:val="single" w:color="000000" w:sz="8" w:space="0"/>
            </w:tcBorders>
            <w:shd w:val="clear" w:color="auto" w:fill="auto"/>
            <w:vAlign w:val="center"/>
          </w:tcPr>
          <w:p w14:paraId="1DC41A3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积极参加国家级展会2次，品牌宣传推介活动1次，组织召开“辣椒节”、农牧民丰收节、那达慕、农产品品鉴会、研讨观摩会等多种形式活动。</w:t>
            </w:r>
          </w:p>
        </w:tc>
        <w:tc>
          <w:tcPr>
            <w:tcW w:w="1048" w:type="dxa"/>
            <w:tcBorders>
              <w:top w:val="nil"/>
              <w:left w:val="single" w:color="000000" w:sz="8" w:space="0"/>
              <w:bottom w:val="single" w:color="000000" w:sz="8" w:space="0"/>
              <w:right w:val="single" w:color="000000" w:sz="8" w:space="0"/>
            </w:tcBorders>
            <w:shd w:val="clear" w:color="auto" w:fill="auto"/>
            <w:vAlign w:val="center"/>
          </w:tcPr>
          <w:p w14:paraId="01F782D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政府投资</w:t>
            </w:r>
          </w:p>
        </w:tc>
        <w:tc>
          <w:tcPr>
            <w:tcW w:w="968" w:type="dxa"/>
            <w:tcBorders>
              <w:top w:val="nil"/>
              <w:left w:val="single" w:color="000000" w:sz="8" w:space="0"/>
              <w:bottom w:val="single" w:color="000000" w:sz="8" w:space="0"/>
              <w:right w:val="single" w:color="000000" w:sz="8" w:space="0"/>
            </w:tcBorders>
            <w:shd w:val="clear" w:color="auto" w:fill="auto"/>
            <w:vAlign w:val="center"/>
          </w:tcPr>
          <w:p w14:paraId="7CF7A52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80</w:t>
            </w:r>
            <w:r>
              <w:rPr>
                <w:rFonts w:hint="default" w:ascii="Times New Roman" w:hAnsi="Times New Roman" w:eastAsia="仿宋_GB2312" w:cs="Times New Roman"/>
                <w:i w:val="0"/>
                <w:iCs w:val="0"/>
                <w:color w:val="000000"/>
                <w:kern w:val="0"/>
                <w:sz w:val="18"/>
                <w:szCs w:val="18"/>
                <w:u w:val="none"/>
                <w:lang w:val="en-US" w:eastAsia="zh-CN" w:bidi="ar"/>
              </w:rPr>
              <w:t>0</w:t>
            </w:r>
          </w:p>
        </w:tc>
        <w:tc>
          <w:tcPr>
            <w:tcW w:w="677" w:type="dxa"/>
            <w:tcBorders>
              <w:top w:val="nil"/>
              <w:left w:val="single" w:color="000000" w:sz="8" w:space="0"/>
              <w:bottom w:val="single" w:color="000000" w:sz="8" w:space="0"/>
              <w:right w:val="single" w:color="000000" w:sz="8" w:space="0"/>
            </w:tcBorders>
            <w:shd w:val="clear" w:color="auto" w:fill="auto"/>
            <w:vAlign w:val="center"/>
          </w:tcPr>
          <w:p w14:paraId="493AD22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2025-2030</w:t>
            </w:r>
          </w:p>
        </w:tc>
        <w:tc>
          <w:tcPr>
            <w:tcW w:w="795" w:type="dxa"/>
            <w:tcBorders>
              <w:top w:val="nil"/>
              <w:left w:val="single" w:color="000000" w:sz="8" w:space="0"/>
              <w:bottom w:val="single" w:color="000000" w:sz="8" w:space="0"/>
              <w:right w:val="single" w:color="000000" w:sz="8" w:space="0"/>
            </w:tcBorders>
            <w:shd w:val="clear" w:color="auto" w:fill="auto"/>
            <w:vAlign w:val="center"/>
          </w:tcPr>
          <w:p w14:paraId="6704131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p>
        </w:tc>
      </w:tr>
      <w:tr w14:paraId="3D58B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767" w:type="dxa"/>
            <w:tcBorders>
              <w:top w:val="nil"/>
              <w:left w:val="single" w:color="000000" w:sz="8" w:space="0"/>
              <w:bottom w:val="single" w:color="000000" w:sz="8" w:space="0"/>
              <w:right w:val="single" w:color="000000" w:sz="8" w:space="0"/>
            </w:tcBorders>
            <w:shd w:val="clear" w:color="auto" w:fill="auto"/>
            <w:vAlign w:val="center"/>
          </w:tcPr>
          <w:p w14:paraId="69ECC40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8</w:t>
            </w:r>
          </w:p>
        </w:tc>
        <w:tc>
          <w:tcPr>
            <w:tcW w:w="1674" w:type="dxa"/>
            <w:tcBorders>
              <w:top w:val="nil"/>
              <w:left w:val="single" w:color="000000" w:sz="8" w:space="0"/>
              <w:bottom w:val="single" w:color="000000" w:sz="8" w:space="0"/>
              <w:right w:val="single" w:color="000000" w:sz="8" w:space="0"/>
            </w:tcBorders>
            <w:shd w:val="clear" w:color="auto" w:fill="auto"/>
            <w:vAlign w:val="center"/>
          </w:tcPr>
          <w:p w14:paraId="1394424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新产品研发及营销渠道拓展</w:t>
            </w:r>
          </w:p>
        </w:tc>
        <w:tc>
          <w:tcPr>
            <w:tcW w:w="3037" w:type="dxa"/>
            <w:tcBorders>
              <w:top w:val="nil"/>
              <w:left w:val="single" w:color="000000" w:sz="8" w:space="0"/>
              <w:bottom w:val="single" w:color="000000" w:sz="8" w:space="0"/>
              <w:right w:val="single" w:color="000000" w:sz="8" w:space="0"/>
            </w:tcBorders>
            <w:shd w:val="clear" w:color="auto" w:fill="auto"/>
            <w:vAlign w:val="center"/>
          </w:tcPr>
          <w:p w14:paraId="4F940AA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研发新产品不低于10款，支持农牧企业在京东、天猫、拼多多等主流电商平台开设至少3家旗舰店、专营店，建设国内体验店不低于10家，培育孵化“爆款产品”。</w:t>
            </w:r>
          </w:p>
        </w:tc>
        <w:tc>
          <w:tcPr>
            <w:tcW w:w="1048" w:type="dxa"/>
            <w:tcBorders>
              <w:top w:val="nil"/>
              <w:left w:val="single" w:color="000000" w:sz="8" w:space="0"/>
              <w:bottom w:val="single" w:color="000000" w:sz="8" w:space="0"/>
              <w:right w:val="single" w:color="000000" w:sz="8" w:space="0"/>
            </w:tcBorders>
            <w:shd w:val="clear" w:color="auto" w:fill="auto"/>
            <w:vAlign w:val="center"/>
          </w:tcPr>
          <w:p w14:paraId="7DA9DE0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政府投资</w:t>
            </w:r>
          </w:p>
        </w:tc>
        <w:tc>
          <w:tcPr>
            <w:tcW w:w="968" w:type="dxa"/>
            <w:tcBorders>
              <w:top w:val="nil"/>
              <w:left w:val="single" w:color="000000" w:sz="8" w:space="0"/>
              <w:bottom w:val="single" w:color="000000" w:sz="8" w:space="0"/>
              <w:right w:val="single" w:color="000000" w:sz="8" w:space="0"/>
            </w:tcBorders>
            <w:shd w:val="clear" w:color="auto" w:fill="auto"/>
            <w:vAlign w:val="center"/>
          </w:tcPr>
          <w:p w14:paraId="6BA64B9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200</w:t>
            </w:r>
            <w:r>
              <w:rPr>
                <w:rFonts w:hint="default" w:ascii="Times New Roman" w:hAnsi="Times New Roman" w:eastAsia="仿宋_GB2312" w:cs="Times New Roman"/>
                <w:i w:val="0"/>
                <w:iCs w:val="0"/>
                <w:color w:val="000000"/>
                <w:kern w:val="0"/>
                <w:sz w:val="18"/>
                <w:szCs w:val="18"/>
                <w:u w:val="none"/>
                <w:lang w:val="en-US" w:eastAsia="zh-CN" w:bidi="ar"/>
              </w:rPr>
              <w:t>0</w:t>
            </w:r>
          </w:p>
        </w:tc>
        <w:tc>
          <w:tcPr>
            <w:tcW w:w="677" w:type="dxa"/>
            <w:tcBorders>
              <w:top w:val="nil"/>
              <w:left w:val="single" w:color="000000" w:sz="8" w:space="0"/>
              <w:bottom w:val="single" w:color="000000" w:sz="8" w:space="0"/>
              <w:right w:val="single" w:color="000000" w:sz="8" w:space="0"/>
            </w:tcBorders>
            <w:shd w:val="clear" w:color="auto" w:fill="auto"/>
            <w:vAlign w:val="center"/>
          </w:tcPr>
          <w:p w14:paraId="1C49C4E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2025-2030</w:t>
            </w:r>
          </w:p>
        </w:tc>
        <w:tc>
          <w:tcPr>
            <w:tcW w:w="795" w:type="dxa"/>
            <w:tcBorders>
              <w:top w:val="nil"/>
              <w:left w:val="single" w:color="000000" w:sz="8" w:space="0"/>
              <w:bottom w:val="single" w:color="000000" w:sz="8" w:space="0"/>
              <w:right w:val="single" w:color="000000" w:sz="8" w:space="0"/>
            </w:tcBorders>
            <w:shd w:val="clear" w:color="auto" w:fill="auto"/>
            <w:vAlign w:val="center"/>
          </w:tcPr>
          <w:p w14:paraId="38EDA1C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p>
        </w:tc>
      </w:tr>
      <w:tr w14:paraId="15A99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767" w:type="dxa"/>
            <w:tcBorders>
              <w:top w:val="nil"/>
              <w:left w:val="single" w:color="000000" w:sz="8" w:space="0"/>
              <w:bottom w:val="single" w:color="000000" w:sz="8" w:space="0"/>
              <w:right w:val="single" w:color="000000" w:sz="8" w:space="0"/>
            </w:tcBorders>
            <w:shd w:val="clear" w:color="auto" w:fill="auto"/>
            <w:vAlign w:val="center"/>
          </w:tcPr>
          <w:p w14:paraId="78C57F9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9</w:t>
            </w:r>
          </w:p>
        </w:tc>
        <w:tc>
          <w:tcPr>
            <w:tcW w:w="1674" w:type="dxa"/>
            <w:tcBorders>
              <w:top w:val="nil"/>
              <w:left w:val="single" w:color="000000" w:sz="8" w:space="0"/>
              <w:bottom w:val="single" w:color="000000" w:sz="8" w:space="0"/>
              <w:right w:val="single" w:color="000000" w:sz="8" w:space="0"/>
            </w:tcBorders>
            <w:shd w:val="clear" w:color="auto" w:fill="auto"/>
            <w:vAlign w:val="center"/>
          </w:tcPr>
          <w:p w14:paraId="52F2032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区域特色农产品培育</w:t>
            </w:r>
          </w:p>
        </w:tc>
        <w:tc>
          <w:tcPr>
            <w:tcW w:w="3037" w:type="dxa"/>
            <w:tcBorders>
              <w:top w:val="nil"/>
              <w:left w:val="single" w:color="000000" w:sz="8" w:space="0"/>
              <w:bottom w:val="single" w:color="000000" w:sz="8" w:space="0"/>
              <w:right w:val="single" w:color="000000" w:sz="8" w:space="0"/>
            </w:tcBorders>
            <w:shd w:val="clear" w:color="auto" w:fill="auto"/>
            <w:vAlign w:val="center"/>
          </w:tcPr>
          <w:p w14:paraId="2A5AF1F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 xml:space="preserve">  </w:t>
            </w:r>
            <w:r>
              <w:rPr>
                <w:rFonts w:hint="default" w:ascii="Times New Roman" w:hAnsi="Times New Roman" w:eastAsia="仿宋_GB2312" w:cs="Times New Roman"/>
                <w:i w:val="0"/>
                <w:iCs w:val="0"/>
                <w:color w:val="000000"/>
                <w:kern w:val="0"/>
                <w:sz w:val="18"/>
                <w:szCs w:val="18"/>
                <w:u w:val="none"/>
                <w:lang w:val="en-US" w:eastAsia="zh-CN" w:bidi="ar"/>
              </w:rPr>
              <w:t>推进城川辣椒、香菇、萝卜、土鸡、乳制品、文冠果系列产品、珠和滩酸菜等7个品牌打造，至少成功注册1个商标品牌。</w:t>
            </w:r>
          </w:p>
        </w:tc>
        <w:tc>
          <w:tcPr>
            <w:tcW w:w="1048" w:type="dxa"/>
            <w:tcBorders>
              <w:top w:val="nil"/>
              <w:left w:val="single" w:color="000000" w:sz="8" w:space="0"/>
              <w:bottom w:val="single" w:color="000000" w:sz="8" w:space="0"/>
              <w:right w:val="single" w:color="000000" w:sz="8" w:space="0"/>
            </w:tcBorders>
            <w:shd w:val="clear" w:color="auto" w:fill="auto"/>
            <w:vAlign w:val="center"/>
          </w:tcPr>
          <w:p w14:paraId="24E9E7D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政府投资</w:t>
            </w:r>
          </w:p>
        </w:tc>
        <w:tc>
          <w:tcPr>
            <w:tcW w:w="968" w:type="dxa"/>
            <w:tcBorders>
              <w:top w:val="nil"/>
              <w:left w:val="single" w:color="000000" w:sz="8" w:space="0"/>
              <w:bottom w:val="single" w:color="000000" w:sz="8" w:space="0"/>
              <w:right w:val="single" w:color="000000" w:sz="8" w:space="0"/>
            </w:tcBorders>
            <w:shd w:val="clear" w:color="auto" w:fill="auto"/>
            <w:vAlign w:val="center"/>
          </w:tcPr>
          <w:p w14:paraId="2664177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30</w:t>
            </w:r>
            <w:r>
              <w:rPr>
                <w:rFonts w:hint="default" w:ascii="Times New Roman" w:hAnsi="Times New Roman" w:eastAsia="仿宋_GB2312" w:cs="Times New Roman"/>
                <w:i w:val="0"/>
                <w:iCs w:val="0"/>
                <w:color w:val="000000"/>
                <w:kern w:val="0"/>
                <w:sz w:val="18"/>
                <w:szCs w:val="18"/>
                <w:u w:val="none"/>
                <w:lang w:val="en-US" w:eastAsia="zh-CN" w:bidi="ar"/>
              </w:rPr>
              <w:t>0</w:t>
            </w:r>
          </w:p>
        </w:tc>
        <w:tc>
          <w:tcPr>
            <w:tcW w:w="677" w:type="dxa"/>
            <w:tcBorders>
              <w:top w:val="nil"/>
              <w:left w:val="single" w:color="000000" w:sz="8" w:space="0"/>
              <w:bottom w:val="single" w:color="000000" w:sz="8" w:space="0"/>
              <w:right w:val="single" w:color="000000" w:sz="8" w:space="0"/>
            </w:tcBorders>
            <w:shd w:val="clear" w:color="auto" w:fill="auto"/>
            <w:vAlign w:val="center"/>
          </w:tcPr>
          <w:p w14:paraId="18492CE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r>
              <w:rPr>
                <w:rFonts w:hint="default" w:ascii="Times New Roman" w:hAnsi="Times New Roman" w:eastAsia="仿宋_GB2312" w:cs="Times New Roman"/>
                <w:i w:val="0"/>
                <w:iCs w:val="0"/>
                <w:color w:val="000000"/>
                <w:kern w:val="0"/>
                <w:sz w:val="18"/>
                <w:szCs w:val="18"/>
                <w:u w:val="none"/>
                <w:lang w:val="en-US" w:eastAsia="zh-CN" w:bidi="ar"/>
              </w:rPr>
              <w:t>2025-2030</w:t>
            </w:r>
          </w:p>
        </w:tc>
        <w:tc>
          <w:tcPr>
            <w:tcW w:w="795" w:type="dxa"/>
            <w:tcBorders>
              <w:top w:val="nil"/>
              <w:left w:val="single" w:color="000000" w:sz="8" w:space="0"/>
              <w:bottom w:val="single" w:color="000000" w:sz="8" w:space="0"/>
              <w:right w:val="single" w:color="000000" w:sz="8" w:space="0"/>
            </w:tcBorders>
            <w:shd w:val="clear" w:color="auto" w:fill="auto"/>
            <w:vAlign w:val="center"/>
          </w:tcPr>
          <w:p w14:paraId="5C4431A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18"/>
                <w:szCs w:val="18"/>
                <w:u w:val="none"/>
                <w:lang w:val="en-US" w:eastAsia="zh-CN" w:bidi="ar"/>
              </w:rPr>
            </w:pPr>
          </w:p>
        </w:tc>
      </w:tr>
    </w:tbl>
    <w:p w14:paraId="5BBA7DA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52"/>
          <w:lang w:val="en-US" w:eastAsia="zh-CN"/>
        </w:rPr>
      </w:pPr>
    </w:p>
    <w:p w14:paraId="5F65E90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52"/>
          <w:lang w:val="en-US" w:eastAsia="zh-CN"/>
        </w:rPr>
      </w:pPr>
    </w:p>
    <w:p w14:paraId="60F6544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52"/>
          <w:lang w:val="en-US" w:eastAsia="zh-CN"/>
        </w:rPr>
      </w:pPr>
    </w:p>
    <w:p w14:paraId="4060E04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52"/>
          <w:lang w:val="en-US" w:eastAsia="zh-CN"/>
        </w:rPr>
      </w:pPr>
    </w:p>
    <w:p w14:paraId="7AEED47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52"/>
          <w:lang w:val="en-US" w:eastAsia="zh-CN"/>
        </w:rPr>
      </w:pPr>
    </w:p>
    <w:p w14:paraId="0F23608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52"/>
          <w:lang w:val="en-US" w:eastAsia="zh-CN"/>
        </w:rPr>
      </w:pPr>
    </w:p>
    <w:p w14:paraId="1812BCA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52"/>
          <w:lang w:val="en-US" w:eastAsia="zh-CN"/>
        </w:rPr>
      </w:pPr>
    </w:p>
    <w:p w14:paraId="584B7E2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52"/>
          <w:lang w:val="en-US" w:eastAsia="zh-CN"/>
        </w:rPr>
      </w:pPr>
    </w:p>
    <w:p w14:paraId="3FB56BF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52"/>
          <w:lang w:val="en-US" w:eastAsia="zh-CN"/>
        </w:rPr>
      </w:pPr>
    </w:p>
    <w:p w14:paraId="56E8EC6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52"/>
          <w:lang w:val="en-US" w:eastAsia="zh-CN"/>
        </w:rPr>
      </w:pPr>
    </w:p>
    <w:p w14:paraId="7836352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52"/>
          <w:lang w:val="en-US" w:eastAsia="zh-CN"/>
        </w:rPr>
      </w:pPr>
    </w:p>
    <w:p w14:paraId="0A281CC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52"/>
          <w:lang w:val="en-US" w:eastAsia="zh-CN"/>
        </w:rPr>
      </w:pPr>
    </w:p>
    <w:p w14:paraId="0247F8E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52"/>
          <w:lang w:val="en-US" w:eastAsia="zh-CN"/>
        </w:rPr>
      </w:pPr>
      <w:r>
        <w:rPr>
          <w:rFonts w:hint="default" w:ascii="Times New Roman" w:hAnsi="Times New Roman" w:eastAsia="方正小标宋简体" w:cs="Times New Roman"/>
          <w:color w:val="auto"/>
          <w:sz w:val="44"/>
          <w:szCs w:val="52"/>
          <w:lang w:val="en-US" w:eastAsia="zh-CN"/>
        </w:rPr>
        <w:t>鄂托克前旗农牧业数字化发展行动方案</w:t>
      </w:r>
    </w:p>
    <w:p w14:paraId="08D362E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52"/>
          <w:lang w:val="en-US" w:eastAsia="zh-CN"/>
        </w:rPr>
      </w:pPr>
      <w:r>
        <w:rPr>
          <w:rFonts w:hint="default" w:ascii="Times New Roman" w:hAnsi="Times New Roman" w:eastAsia="方正小标宋简体" w:cs="Times New Roman"/>
          <w:color w:val="auto"/>
          <w:sz w:val="44"/>
          <w:szCs w:val="52"/>
          <w:lang w:val="en-US" w:eastAsia="zh-CN"/>
        </w:rPr>
        <w:t>（2025—2030年）</w:t>
      </w:r>
      <w:r>
        <w:rPr>
          <w:rFonts w:hint="default" w:ascii="Times New Roman" w:hAnsi="Times New Roman" w:eastAsia="方正小标宋简体" w:cs="Times New Roman"/>
          <w:sz w:val="44"/>
          <w:szCs w:val="44"/>
          <w:lang w:val="en-US" w:eastAsia="zh-CN"/>
        </w:rPr>
        <w:t>（征求意见稿）</w:t>
      </w:r>
    </w:p>
    <w:p w14:paraId="5917E6E8">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kern w:val="0"/>
          <w:sz w:val="32"/>
          <w:szCs w:val="32"/>
          <w:lang w:val="en-US" w:eastAsia="zh-CN" w:bidi="ar"/>
        </w:rPr>
      </w:pPr>
    </w:p>
    <w:p w14:paraId="47E798B8">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
        </w:rPr>
      </w:pPr>
      <w:r>
        <w:rPr>
          <w:rFonts w:hint="default" w:ascii="Times New Roman" w:hAnsi="Times New Roman" w:eastAsia="仿宋_GB2312" w:cs="Times New Roman"/>
          <w:color w:val="auto"/>
          <w:kern w:val="0"/>
          <w:sz w:val="32"/>
          <w:szCs w:val="32"/>
          <w:lang w:val="en-US" w:eastAsia="zh-CN" w:bidi="ar"/>
        </w:rPr>
        <w:t>农牧业数字化发展是推动农牧业农村牧区现代化的有力抓手。为深入贯彻落实《农业农村部关于大力推进智慧农业发展的指导意见》《全国智慧农业行动计划（2024—2028年）》《内蒙古自治区推进智慧农牧业建设实施方案（2025—2027年）》，加快推进农牧业数字化建设，结合实际，制定本方案。</w:t>
      </w:r>
    </w:p>
    <w:p w14:paraId="570E008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CESI黑体-GB2312" w:cs="Times New Roman"/>
          <w:color w:val="auto"/>
          <w:sz w:val="32"/>
          <w:szCs w:val="32"/>
        </w:rPr>
      </w:pPr>
      <w:r>
        <w:rPr>
          <w:rFonts w:hint="default" w:ascii="Times New Roman" w:hAnsi="Times New Roman" w:eastAsia="CESI黑体-GB2312" w:cs="Times New Roman"/>
          <w:color w:val="auto"/>
          <w:sz w:val="32"/>
          <w:szCs w:val="32"/>
          <w:lang w:eastAsia="zh-CN"/>
        </w:rPr>
        <w:t>一、</w:t>
      </w:r>
      <w:r>
        <w:rPr>
          <w:rFonts w:hint="default" w:ascii="Times New Roman" w:hAnsi="Times New Roman" w:eastAsia="CESI黑体-GB2312" w:cs="Times New Roman"/>
          <w:color w:val="auto"/>
          <w:sz w:val="32"/>
          <w:szCs w:val="32"/>
        </w:rPr>
        <w:t>总体思路</w:t>
      </w:r>
    </w:p>
    <w:p w14:paraId="38F9359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 w:val="0"/>
          <w:bCs w:val="0"/>
          <w:color w:val="auto"/>
          <w:kern w:val="2"/>
          <w:sz w:val="32"/>
          <w:szCs w:val="24"/>
          <w:lang w:val="en-US" w:eastAsia="zh-CN" w:bidi="ar-SA"/>
        </w:rPr>
      </w:pPr>
      <w:r>
        <w:rPr>
          <w:rFonts w:hint="default" w:ascii="Times New Roman" w:hAnsi="Times New Roman" w:eastAsia="仿宋_GB2312" w:cs="Times New Roman"/>
          <w:color w:val="auto"/>
          <w:sz w:val="32"/>
          <w:szCs w:val="32"/>
          <w:lang w:val="en-US" w:eastAsia="zh-CN"/>
        </w:rPr>
        <w:t>根据国家总体部署，加快数字农牧业发展必须立足我旗新的发展阶段，贯彻新发展理念，围绕农牧业“新基建”、智慧种养、智慧供应链、智慧信息服务等方向，按照“抓重点、促集约、强示范、重成效”的总体思路，开展重点建设，推动农牧业“AI”全场景应用，实现农牧业高质高效发展。</w:t>
      </w:r>
      <w:r>
        <w:rPr>
          <w:rFonts w:hint="default" w:ascii="Times New Roman" w:hAnsi="Times New Roman" w:eastAsia="仿宋_GB2312" w:cs="Times New Roman"/>
          <w:b/>
          <w:bCs/>
          <w:color w:val="auto"/>
          <w:sz w:val="32"/>
          <w:szCs w:val="32"/>
          <w:lang w:val="en-US" w:eastAsia="zh-CN"/>
        </w:rPr>
        <w:t>2025年，</w:t>
      </w:r>
      <w:r>
        <w:rPr>
          <w:rFonts w:hint="default" w:ascii="Times New Roman" w:hAnsi="Times New Roman" w:eastAsia="仿宋_GB2312" w:cs="Times New Roman"/>
          <w:color w:val="auto"/>
          <w:sz w:val="32"/>
          <w:szCs w:val="32"/>
          <w:lang w:val="en-US" w:eastAsia="zh-CN"/>
        </w:rPr>
        <w:t>基本建成“123+N”数字农牧业体系</w:t>
      </w:r>
      <w:r>
        <w:rPr>
          <w:rFonts w:hint="default" w:ascii="Times New Roman" w:hAnsi="Times New Roman" w:eastAsia="楷体_GB2312" w:cs="Times New Roman"/>
          <w:b/>
          <w:bCs/>
          <w:color w:val="auto"/>
          <w:sz w:val="28"/>
          <w:szCs w:val="28"/>
          <w:lang w:val="en-US" w:eastAsia="zh-CN"/>
        </w:rPr>
        <w:t>（即建设一个旗级新质生产力研究应用中心，两个智能信息服务管理平台，三个智慧园区和N个应用场景，基本形成数字农牧业发展框架）</w:t>
      </w:r>
      <w:r>
        <w:rPr>
          <w:rFonts w:hint="default" w:ascii="Times New Roman" w:hAnsi="Times New Roman" w:eastAsia="仿宋_GB2312" w:cs="Times New Roman"/>
          <w:color w:val="auto"/>
          <w:sz w:val="32"/>
          <w:szCs w:val="32"/>
          <w:lang w:val="en-US" w:eastAsia="zh-CN"/>
        </w:rPr>
        <w:t>，搭建起全旗数字农牧业发展框架。</w:t>
      </w:r>
      <w:r>
        <w:rPr>
          <w:rFonts w:hint="default" w:ascii="Times New Roman" w:hAnsi="Times New Roman" w:eastAsia="仿宋_GB2312" w:cs="Times New Roman"/>
          <w:b/>
          <w:bCs/>
          <w:color w:val="auto"/>
          <w:sz w:val="32"/>
          <w:szCs w:val="32"/>
          <w:lang w:val="en-US" w:eastAsia="zh-CN"/>
        </w:rPr>
        <w:t>到2030年，</w:t>
      </w:r>
      <w:r>
        <w:rPr>
          <w:rFonts w:hint="default" w:ascii="Times New Roman" w:hAnsi="Times New Roman" w:eastAsia="仿宋_GB2312" w:cs="Times New Roman"/>
          <w:b w:val="0"/>
          <w:bCs w:val="0"/>
          <w:color w:val="auto"/>
          <w:sz w:val="32"/>
          <w:szCs w:val="32"/>
          <w:lang w:val="en-US" w:eastAsia="zh-CN"/>
        </w:rPr>
        <w:t>将</w:t>
      </w:r>
      <w:r>
        <w:rPr>
          <w:rFonts w:hint="default" w:ascii="Times New Roman" w:hAnsi="Times New Roman" w:eastAsia="仿宋_GB2312" w:cs="Times New Roman"/>
          <w:color w:val="auto"/>
          <w:sz w:val="32"/>
          <w:szCs w:val="32"/>
          <w:lang w:val="en-US" w:eastAsia="zh-CN"/>
        </w:rPr>
        <w:t>旗级新质生产力研究应用中心建成农牧业决策、科研、技术中心，2个智能平台升级为“AI+农牧业”综合服务中枢，新增5个智慧园区，农牧业生产区物联网覆盖率达90%。智慧种养覆盖率超50%，供应链数字化协同率达45%，智慧服务惠及所有经营主体，数字化带动农牧民人均增收占比达30%，基本实现“数字赋能农牧业、智慧引领新发展”。</w:t>
      </w:r>
    </w:p>
    <w:p w14:paraId="25F01D6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 w:val="0"/>
          <w:bCs w:val="0"/>
          <w:color w:val="auto"/>
          <w:sz w:val="32"/>
          <w:highlight w:val="none"/>
        </w:rPr>
      </w:pPr>
      <w:r>
        <w:rPr>
          <w:rFonts w:hint="default" w:ascii="Times New Roman" w:hAnsi="Times New Roman" w:eastAsia="黑体" w:cs="Times New Roman"/>
          <w:b w:val="0"/>
          <w:bCs w:val="0"/>
          <w:color w:val="auto"/>
          <w:kern w:val="2"/>
          <w:sz w:val="32"/>
          <w:szCs w:val="24"/>
          <w:lang w:val="en-US" w:eastAsia="zh-CN" w:bidi="ar-SA"/>
        </w:rPr>
        <w:t>三、</w:t>
      </w:r>
      <w:r>
        <w:rPr>
          <w:rFonts w:hint="default" w:ascii="Times New Roman" w:hAnsi="Times New Roman" w:eastAsia="黑体" w:cs="Times New Roman"/>
          <w:b w:val="0"/>
          <w:bCs w:val="0"/>
          <w:color w:val="auto"/>
          <w:sz w:val="32"/>
          <w:highlight w:val="none"/>
        </w:rPr>
        <w:t>重点任务</w:t>
      </w:r>
    </w:p>
    <w:p w14:paraId="4D30301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b w:val="0"/>
          <w:bCs w:val="0"/>
          <w:color w:val="auto"/>
          <w:sz w:val="32"/>
          <w:highlight w:val="none"/>
        </w:rPr>
      </w:pPr>
      <w:r>
        <w:rPr>
          <w:rFonts w:hint="default" w:ascii="Times New Roman" w:hAnsi="Times New Roman" w:eastAsia="楷体" w:cs="Times New Roman"/>
          <w:b w:val="0"/>
          <w:bCs w:val="0"/>
          <w:color w:val="auto"/>
          <w:sz w:val="32"/>
          <w:highlight w:val="none"/>
        </w:rPr>
        <w:t>（一）</w:t>
      </w:r>
      <w:r>
        <w:rPr>
          <w:rFonts w:hint="default" w:ascii="Times New Roman" w:hAnsi="Times New Roman" w:eastAsia="楷体" w:cs="Times New Roman"/>
          <w:b w:val="0"/>
          <w:bCs w:val="0"/>
          <w:color w:val="auto"/>
          <w:sz w:val="32"/>
          <w:highlight w:val="none"/>
          <w:lang w:val="en-US" w:eastAsia="zh-CN"/>
        </w:rPr>
        <w:t>提升</w:t>
      </w:r>
      <w:r>
        <w:rPr>
          <w:rFonts w:hint="default" w:ascii="Times New Roman" w:hAnsi="Times New Roman" w:eastAsia="楷体" w:cs="Times New Roman"/>
          <w:b w:val="0"/>
          <w:bCs w:val="0"/>
          <w:color w:val="auto"/>
          <w:sz w:val="32"/>
          <w:highlight w:val="none"/>
        </w:rPr>
        <w:t>数字农牧业基础</w:t>
      </w:r>
    </w:p>
    <w:p w14:paraId="301003D3">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 w:cs="Times New Roman"/>
          <w:b/>
          <w:bCs/>
          <w:color w:val="auto"/>
          <w:sz w:val="32"/>
          <w:highlight w:val="none"/>
        </w:rPr>
        <w:t>1.</w:t>
      </w:r>
      <w:r>
        <w:rPr>
          <w:rFonts w:hint="default" w:ascii="Times New Roman" w:hAnsi="Times New Roman" w:eastAsia="仿宋" w:cs="Times New Roman"/>
          <w:b/>
          <w:bCs/>
          <w:color w:val="auto"/>
          <w:sz w:val="32"/>
          <w:highlight w:val="none"/>
          <w:lang w:eastAsia="zh-CN"/>
        </w:rPr>
        <w:t>建设</w:t>
      </w:r>
      <w:r>
        <w:rPr>
          <w:rFonts w:hint="default" w:ascii="Times New Roman" w:hAnsi="Times New Roman" w:eastAsia="仿宋" w:cs="Times New Roman"/>
          <w:b/>
          <w:bCs/>
          <w:color w:val="auto"/>
          <w:sz w:val="32"/>
          <w:highlight w:val="none"/>
          <w:lang w:val="en-US" w:eastAsia="zh-CN"/>
        </w:rPr>
        <w:t>新质生产力应用中心</w:t>
      </w:r>
      <w:r>
        <w:rPr>
          <w:rFonts w:hint="default" w:ascii="Times New Roman" w:hAnsi="Times New Roman" w:eastAsia="仿宋" w:cs="Times New Roman"/>
          <w:b/>
          <w:bCs/>
          <w:color w:val="auto"/>
          <w:sz w:val="32"/>
          <w:highlight w:val="none"/>
          <w:lang w:val="en-US" w:eastAsia="zh-CN"/>
        </w:rPr>
        <w:t>。</w:t>
      </w:r>
      <w:r>
        <w:rPr>
          <w:rFonts w:hint="default" w:ascii="Times New Roman" w:hAnsi="Times New Roman" w:eastAsia="仿宋_GB2312" w:cs="Times New Roman"/>
          <w:color w:val="auto"/>
          <w:sz w:val="32"/>
          <w:szCs w:val="32"/>
          <w:lang w:val="en-US" w:eastAsia="zh-CN"/>
        </w:rPr>
        <w:t>规划建设农牧业新质生产力应用研究中心，充分利用旗内各镇、各部门管理服务平台，整合中国农大教授工作站、华中农大高水效智慧农业研究中心、城川辣椒科技小院、中国农科院肉羊育种、中国发展战略学研究会鄂托克前旗战略实践基地（生态高效农牧业）等优质研发资源，有效提升全旗农牧业新技术研发推广应用水平。</w:t>
      </w:r>
    </w:p>
    <w:p w14:paraId="2442070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cs="Times New Roman"/>
          <w:color w:val="auto"/>
        </w:rPr>
      </w:pPr>
      <w:r>
        <w:rPr>
          <w:rFonts w:hint="default" w:ascii="Times New Roman" w:hAnsi="Times New Roman" w:eastAsia="仿宋" w:cs="Times New Roman"/>
          <w:b/>
          <w:bCs/>
          <w:color w:val="auto"/>
          <w:sz w:val="32"/>
          <w:highlight w:val="none"/>
        </w:rPr>
        <w:t>2.打造智慧农牧业园区。</w:t>
      </w:r>
      <w:r>
        <w:rPr>
          <w:rFonts w:hint="default" w:ascii="Times New Roman" w:hAnsi="Times New Roman" w:eastAsia="仿宋" w:cs="Times New Roman"/>
          <w:b w:val="0"/>
          <w:bCs w:val="0"/>
          <w:color w:val="auto"/>
          <w:sz w:val="32"/>
          <w:highlight w:val="none"/>
          <w:lang w:val="en-US" w:eastAsia="zh-CN"/>
        </w:rPr>
        <w:t>建成</w:t>
      </w:r>
      <w:r>
        <w:rPr>
          <w:rFonts w:hint="default" w:ascii="Times New Roman" w:hAnsi="Times New Roman" w:eastAsia="仿宋_GB2312" w:cs="Times New Roman"/>
          <w:color w:val="auto"/>
          <w:sz w:val="32"/>
          <w:szCs w:val="32"/>
          <w:lang w:val="en-US" w:eastAsia="zh-CN"/>
        </w:rPr>
        <w:t>智慧农牧业产业园，形成1万亩玉米智慧种植、20户牧户智慧管理、数字赋能2家屠宰</w:t>
      </w:r>
      <w:r>
        <w:rPr>
          <w:rFonts w:hint="default" w:ascii="Times New Roman" w:hAnsi="Times New Roman" w:eastAsia="仿宋_GB2312" w:cs="Times New Roman"/>
          <w:color w:val="auto"/>
          <w:sz w:val="32"/>
          <w:szCs w:val="32"/>
          <w:lang w:val="en-US" w:eastAsia="zh-CN"/>
        </w:rPr>
        <w:t>企业</w:t>
      </w:r>
      <w:r>
        <w:rPr>
          <w:rFonts w:hint="default" w:ascii="Times New Roman" w:hAnsi="Times New Roman" w:eastAsia="仿宋_GB2312" w:cs="Times New Roman"/>
          <w:color w:val="auto"/>
          <w:sz w:val="32"/>
          <w:szCs w:val="32"/>
          <w:lang w:val="en-US" w:eastAsia="zh-CN"/>
        </w:rPr>
        <w:t>的农牧融合示范园。</w:t>
      </w:r>
      <w:r>
        <w:rPr>
          <w:rFonts w:hint="default" w:ascii="Times New Roman" w:hAnsi="Times New Roman" w:eastAsia="仿宋_GB2312" w:cs="Times New Roman"/>
          <w:color w:val="auto"/>
          <w:sz w:val="32"/>
          <w:szCs w:val="32"/>
          <w:lang w:val="en-US" w:eastAsia="zh-CN"/>
        </w:rPr>
        <w:t>积极推动</w:t>
      </w:r>
      <w:r>
        <w:rPr>
          <w:rFonts w:hint="default" w:ascii="Times New Roman" w:hAnsi="Times New Roman" w:eastAsia="仿宋_GB2312" w:cs="Times New Roman"/>
          <w:color w:val="auto"/>
          <w:sz w:val="32"/>
          <w:szCs w:val="32"/>
          <w:lang w:val="en-US" w:eastAsia="zh-CN"/>
        </w:rPr>
        <w:t>占地1000亩的智慧设施农业产业园</w:t>
      </w:r>
      <w:r>
        <w:rPr>
          <w:rFonts w:hint="default" w:ascii="Times New Roman" w:hAnsi="Times New Roman" w:eastAsia="仿宋_GB2312" w:cs="Times New Roman"/>
          <w:color w:val="auto"/>
          <w:sz w:val="32"/>
          <w:szCs w:val="32"/>
          <w:lang w:val="en-US" w:eastAsia="zh-CN"/>
        </w:rPr>
        <w:t>开工建设</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建设</w:t>
      </w:r>
      <w:r>
        <w:rPr>
          <w:rFonts w:hint="default" w:ascii="Times New Roman" w:hAnsi="Times New Roman" w:eastAsia="仿宋_GB2312" w:cs="Times New Roman"/>
          <w:color w:val="auto"/>
          <w:sz w:val="32"/>
          <w:szCs w:val="32"/>
          <w:lang w:val="en-US" w:eastAsia="zh-CN"/>
        </w:rPr>
        <w:t>农产品智慧供应园，整合消费帮扶集采中心与电商物流园</w:t>
      </w:r>
      <w:r>
        <w:rPr>
          <w:rFonts w:hint="default" w:ascii="Times New Roman" w:hAnsi="Times New Roman" w:eastAsia="仿宋_GB2312" w:cs="Times New Roman"/>
          <w:color w:val="auto"/>
          <w:sz w:val="32"/>
          <w:szCs w:val="32"/>
          <w:lang w:val="en-US" w:eastAsia="zh-CN"/>
        </w:rPr>
        <w:t>，组成智慧供应园</w:t>
      </w:r>
      <w:r>
        <w:rPr>
          <w:rFonts w:hint="default" w:ascii="Times New Roman" w:hAnsi="Times New Roman" w:eastAsia="仿宋_GB2312" w:cs="Times New Roman"/>
          <w:color w:val="auto"/>
          <w:sz w:val="32"/>
          <w:szCs w:val="32"/>
          <w:lang w:val="en-US" w:eastAsia="zh-CN"/>
        </w:rPr>
        <w:t>，数字化升级冷链仓储</w:t>
      </w:r>
      <w:r>
        <w:rPr>
          <w:rFonts w:hint="default" w:ascii="Times New Roman" w:hAnsi="Times New Roman" w:eastAsia="仿宋_GB2312" w:cs="Times New Roman"/>
          <w:color w:val="auto"/>
          <w:sz w:val="32"/>
          <w:szCs w:val="32"/>
          <w:lang w:val="en-US" w:eastAsia="zh-CN"/>
        </w:rPr>
        <w:t>设施</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借助</w:t>
      </w:r>
      <w:r>
        <w:rPr>
          <w:rFonts w:hint="default" w:ascii="Times New Roman" w:hAnsi="Times New Roman" w:eastAsia="仿宋_GB2312" w:cs="Times New Roman"/>
          <w:color w:val="auto"/>
          <w:sz w:val="32"/>
          <w:szCs w:val="32"/>
          <w:lang w:val="en-US" w:eastAsia="zh-CN"/>
        </w:rPr>
        <w:t>“草原村排IP”</w:t>
      </w:r>
      <w:r>
        <w:rPr>
          <w:rFonts w:hint="default" w:ascii="Times New Roman" w:hAnsi="Times New Roman" w:eastAsia="仿宋_GB2312" w:cs="Times New Roman"/>
          <w:color w:val="auto"/>
          <w:sz w:val="32"/>
          <w:szCs w:val="32"/>
          <w:lang w:val="en-US" w:eastAsia="zh-CN"/>
        </w:rPr>
        <w:t>销售牛羊肉、奶食品、辣椒、萝卜等</w:t>
      </w:r>
      <w:r>
        <w:rPr>
          <w:rFonts w:hint="default" w:ascii="Times New Roman" w:hAnsi="Times New Roman" w:eastAsia="仿宋_GB2312" w:cs="Times New Roman"/>
          <w:color w:val="auto"/>
          <w:sz w:val="32"/>
          <w:szCs w:val="32"/>
          <w:lang w:val="en-US" w:eastAsia="zh-CN"/>
        </w:rPr>
        <w:t>特色农畜产品。打造示范高地，吸引科技企业与团队，培育农牧业新质生产力</w:t>
      </w:r>
      <w:r>
        <w:rPr>
          <w:rFonts w:hint="default" w:ascii="Times New Roman" w:hAnsi="Times New Roman" w:eastAsia="仿宋_GB2312" w:cs="Times New Roman"/>
          <w:color w:val="auto"/>
          <w:sz w:val="32"/>
          <w:szCs w:val="32"/>
          <w:lang w:val="en-US" w:eastAsia="zh-CN"/>
        </w:rPr>
        <w:t>。</w:t>
      </w:r>
    </w:p>
    <w:p w14:paraId="1BEB3E4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 w:cs="Times New Roman"/>
          <w:b/>
          <w:bCs/>
          <w:color w:val="auto"/>
          <w:sz w:val="32"/>
          <w:highlight w:val="none"/>
          <w:lang w:val="en-US" w:eastAsia="zh-CN"/>
        </w:rPr>
        <w:t>3.</w:t>
      </w:r>
      <w:r>
        <w:rPr>
          <w:rFonts w:hint="default" w:ascii="Times New Roman" w:hAnsi="Times New Roman" w:eastAsia="仿宋" w:cs="Times New Roman"/>
          <w:b/>
          <w:bCs/>
          <w:color w:val="auto"/>
          <w:sz w:val="32"/>
          <w:highlight w:val="none"/>
        </w:rPr>
        <w:t>完善网络通信设施。</w:t>
      </w:r>
      <w:r>
        <w:rPr>
          <w:rFonts w:hint="default" w:ascii="Times New Roman" w:hAnsi="Times New Roman" w:eastAsia="仿宋_GB2312" w:cs="Times New Roman"/>
          <w:color w:val="auto"/>
          <w:sz w:val="32"/>
          <w:szCs w:val="32"/>
        </w:rPr>
        <w:t>加大农村地区网络通信基础设施建设投入，</w:t>
      </w:r>
      <w:r>
        <w:rPr>
          <w:rFonts w:hint="default" w:ascii="Times New Roman" w:hAnsi="Times New Roman" w:eastAsia="仿宋_GB2312" w:cs="Times New Roman"/>
          <w:color w:val="auto"/>
          <w:sz w:val="32"/>
          <w:szCs w:val="32"/>
          <w:lang w:val="en-US" w:eastAsia="zh-CN"/>
        </w:rPr>
        <w:t>2025年完成</w:t>
      </w:r>
      <w:r>
        <w:rPr>
          <w:rFonts w:hint="default" w:ascii="Times New Roman" w:hAnsi="Times New Roman" w:eastAsia="仿宋_GB2312" w:cs="Times New Roman"/>
          <w:color w:val="auto"/>
          <w:sz w:val="32"/>
          <w:szCs w:val="32"/>
          <w:lang w:eastAsia="zh-CN"/>
        </w:rPr>
        <w:t>新建</w:t>
      </w:r>
      <w:r>
        <w:rPr>
          <w:rFonts w:hint="default" w:ascii="Times New Roman" w:hAnsi="Times New Roman" w:eastAsia="仿宋_GB2312" w:cs="Times New Roman"/>
          <w:color w:val="auto"/>
          <w:sz w:val="32"/>
          <w:szCs w:val="32"/>
          <w:lang w:val="en-US" w:eastAsia="zh-CN"/>
        </w:rPr>
        <w:t>4G基站28个。到2030年再新建4G网络服务点90处，改造原有网络服务点增加4G网络设备30处，新建5G网络服务点50处，进一步</w:t>
      </w:r>
      <w:r>
        <w:rPr>
          <w:rFonts w:hint="default" w:ascii="Times New Roman" w:hAnsi="Times New Roman" w:eastAsia="仿宋_GB2312" w:cs="Times New Roman"/>
          <w:color w:val="auto"/>
          <w:sz w:val="32"/>
          <w:szCs w:val="32"/>
        </w:rPr>
        <w:t>优化网络布局，为农牧业数字化转型提供坚实的网络基础。</w:t>
      </w:r>
    </w:p>
    <w:p w14:paraId="197178A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11562EA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b w:val="0"/>
          <w:bCs w:val="0"/>
          <w:color w:val="auto"/>
          <w:sz w:val="32"/>
          <w:highlight w:val="none"/>
        </w:rPr>
      </w:pPr>
      <w:r>
        <w:rPr>
          <w:rFonts w:hint="default" w:ascii="Times New Roman" w:hAnsi="Times New Roman" w:eastAsia="楷体" w:cs="Times New Roman"/>
          <w:b w:val="0"/>
          <w:bCs w:val="0"/>
          <w:color w:val="auto"/>
          <w:sz w:val="32"/>
          <w:highlight w:val="none"/>
        </w:rPr>
        <w:t>（三）提升</w:t>
      </w:r>
      <w:r>
        <w:rPr>
          <w:rFonts w:hint="default" w:ascii="Times New Roman" w:hAnsi="Times New Roman" w:eastAsia="楷体" w:cs="Times New Roman"/>
          <w:b w:val="0"/>
          <w:bCs w:val="0"/>
          <w:color w:val="auto"/>
          <w:sz w:val="32"/>
          <w:highlight w:val="none"/>
          <w:lang w:val="en-US" w:eastAsia="zh-CN"/>
        </w:rPr>
        <w:t>数字农牧业</w:t>
      </w:r>
      <w:r>
        <w:rPr>
          <w:rFonts w:hint="default" w:ascii="Times New Roman" w:hAnsi="Times New Roman" w:eastAsia="楷体" w:cs="Times New Roman"/>
          <w:b w:val="0"/>
          <w:bCs w:val="0"/>
          <w:color w:val="auto"/>
          <w:sz w:val="32"/>
          <w:highlight w:val="none"/>
        </w:rPr>
        <w:t>经营管理水平</w:t>
      </w:r>
    </w:p>
    <w:p w14:paraId="5CE03380">
      <w:pPr>
        <w:pStyle w:val="16"/>
        <w:keepNext w:val="0"/>
        <w:keepLines w:val="0"/>
        <w:pageBreakBefore w:val="0"/>
        <w:tabs>
          <w:tab w:val="right" w:leader="dot" w:pos="8834"/>
        </w:tabs>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 w:cs="Times New Roman"/>
          <w:b/>
          <w:bCs/>
          <w:color w:val="auto"/>
          <w:sz w:val="32"/>
          <w:highlight w:val="none"/>
          <w:lang w:val="en-US" w:eastAsia="zh-CN"/>
        </w:rPr>
        <w:t>4</w:t>
      </w:r>
      <w:r>
        <w:rPr>
          <w:rFonts w:hint="default" w:ascii="Times New Roman" w:hAnsi="Times New Roman" w:eastAsia="仿宋" w:cs="Times New Roman"/>
          <w:b/>
          <w:bCs/>
          <w:color w:val="auto"/>
          <w:sz w:val="32"/>
          <w:highlight w:val="none"/>
        </w:rPr>
        <w:t>.建设农牧业数据</w:t>
      </w:r>
      <w:r>
        <w:rPr>
          <w:rFonts w:hint="default" w:ascii="Times New Roman" w:hAnsi="Times New Roman" w:eastAsia="仿宋" w:cs="Times New Roman"/>
          <w:b/>
          <w:bCs/>
          <w:color w:val="auto"/>
          <w:sz w:val="32"/>
          <w:highlight w:val="none"/>
          <w:lang w:val="en-US" w:eastAsia="zh-CN"/>
        </w:rPr>
        <w:t>管理服务</w:t>
      </w:r>
      <w:r>
        <w:rPr>
          <w:rFonts w:hint="default" w:ascii="Times New Roman" w:hAnsi="Times New Roman" w:eastAsia="仿宋" w:cs="Times New Roman"/>
          <w:b/>
          <w:bCs/>
          <w:color w:val="auto"/>
          <w:sz w:val="32"/>
          <w:highlight w:val="none"/>
        </w:rPr>
        <w:t>平台。</w:t>
      </w:r>
      <w:r>
        <w:rPr>
          <w:rFonts w:hint="default" w:ascii="Times New Roman" w:hAnsi="Times New Roman" w:eastAsia="仿宋_GB2312" w:cs="Times New Roman"/>
          <w:color w:val="auto"/>
          <w:sz w:val="32"/>
          <w:szCs w:val="32"/>
          <w:lang w:val="en-US" w:eastAsia="zh-CN"/>
        </w:rPr>
        <w:t>立足</w:t>
      </w:r>
      <w:r>
        <w:rPr>
          <w:rFonts w:hint="default" w:ascii="Times New Roman" w:hAnsi="Times New Roman" w:eastAsia="仿宋_GB2312" w:cs="Times New Roman"/>
          <w:color w:val="auto"/>
          <w:sz w:val="32"/>
          <w:szCs w:val="32"/>
          <w:lang w:val="en-US" w:eastAsia="zh-CN"/>
        </w:rPr>
        <w:t>我</w:t>
      </w:r>
      <w:r>
        <w:rPr>
          <w:rFonts w:hint="default" w:ascii="Times New Roman" w:hAnsi="Times New Roman" w:eastAsia="仿宋_GB2312" w:cs="Times New Roman"/>
          <w:color w:val="auto"/>
          <w:sz w:val="32"/>
          <w:szCs w:val="32"/>
          <w:lang w:val="en-US" w:eastAsia="zh-CN"/>
        </w:rPr>
        <w:t>旗农牧业资源禀赋和产业化优势，</w:t>
      </w:r>
      <w:r>
        <w:rPr>
          <w:rFonts w:hint="default" w:ascii="Times New Roman" w:hAnsi="Times New Roman" w:eastAsia="仿宋_GB2312" w:cs="Times New Roman"/>
          <w:color w:val="auto"/>
          <w:sz w:val="32"/>
          <w:szCs w:val="32"/>
          <w:lang w:val="en-US" w:eastAsia="zh-CN"/>
        </w:rPr>
        <w:t>进一步完善我旗农业节水调度管理平台，接入大沟湾生态引水、农业水价改革和智慧园区、智慧农田、智慧牧场（户）数据资源，形成水资源高效监管服务平台。加大农业社会化服务支持力度，围绕“耕、种、播、收、售”全流程建立服务体系，全面拓展小农户数字化托管服务，推动融入现代农业体系。建设鄂托克前旗农牧业社会化服务数字平台，形成数字化管理格局。</w:t>
      </w:r>
    </w:p>
    <w:p w14:paraId="0E67CE4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 w:cs="Times New Roman"/>
          <w:b/>
          <w:bCs/>
          <w:color w:val="auto"/>
          <w:sz w:val="32"/>
          <w:highlight w:val="none"/>
          <w:lang w:val="en-US" w:eastAsia="zh-CN"/>
        </w:rPr>
        <w:t>5.</w:t>
      </w:r>
      <w:r>
        <w:rPr>
          <w:rFonts w:hint="default" w:ascii="Times New Roman" w:hAnsi="Times New Roman" w:eastAsia="仿宋" w:cs="Times New Roman"/>
          <w:b/>
          <w:bCs/>
          <w:color w:val="auto"/>
          <w:sz w:val="32"/>
          <w:highlight w:val="none"/>
        </w:rPr>
        <w:t>培育农牧业电商新业态。</w:t>
      </w:r>
      <w:r>
        <w:rPr>
          <w:rFonts w:hint="default" w:ascii="Times New Roman" w:hAnsi="Times New Roman" w:eastAsia="仿宋_GB2312" w:cs="Times New Roman"/>
          <w:color w:val="auto"/>
          <w:kern w:val="2"/>
          <w:sz w:val="32"/>
          <w:szCs w:val="32"/>
          <w:lang w:val="en-US" w:eastAsia="zh-CN" w:bidi="ar-SA"/>
        </w:rPr>
        <w:t>建立农牧业“互联网+”发展新模式，鼓励和支持在大中城市设立前置仓，支持建设冷链配送体系，逐步把销售网络延伸到城市社区。加强农牧民电子商务培训，</w:t>
      </w:r>
      <w:r>
        <w:rPr>
          <w:rFonts w:hint="default" w:ascii="Times New Roman" w:hAnsi="Times New Roman" w:eastAsia="仿宋_GB2312" w:cs="Times New Roman"/>
          <w:color w:val="auto"/>
          <w:kern w:val="2"/>
          <w:sz w:val="32"/>
          <w:szCs w:val="32"/>
          <w:lang w:val="en-US" w:eastAsia="zh-CN" w:bidi="ar-SA"/>
        </w:rPr>
        <w:t>鼓励发展农村电商、直播带货等新业态，</w:t>
      </w:r>
      <w:r>
        <w:rPr>
          <w:rFonts w:hint="default" w:ascii="Times New Roman" w:hAnsi="Times New Roman" w:eastAsia="仿宋_GB2312" w:cs="Times New Roman"/>
          <w:color w:val="auto"/>
          <w:kern w:val="2"/>
          <w:sz w:val="32"/>
          <w:szCs w:val="32"/>
          <w:lang w:val="en-US" w:eastAsia="zh-CN" w:bidi="ar-SA"/>
        </w:rPr>
        <w:t>提高新型农业经营主体电子商务应用能力，提升农畜产品营销网络化水平。基本实现“产运销”一体化农牧业电子商务发展格局。</w:t>
      </w:r>
    </w:p>
    <w:p w14:paraId="1AF1492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 w:cs="Times New Roman"/>
          <w:b/>
          <w:bCs/>
          <w:color w:val="auto"/>
          <w:sz w:val="32"/>
          <w:highlight w:val="none"/>
          <w:lang w:val="en-US" w:eastAsia="zh-CN"/>
        </w:rPr>
        <w:t>6</w:t>
      </w:r>
      <w:r>
        <w:rPr>
          <w:rFonts w:hint="default" w:ascii="Times New Roman" w:hAnsi="Times New Roman" w:eastAsia="仿宋" w:cs="Times New Roman"/>
          <w:b/>
          <w:bCs/>
          <w:color w:val="auto"/>
          <w:sz w:val="32"/>
          <w:highlight w:val="none"/>
        </w:rPr>
        <w:t>.推广应用智能农业装备</w:t>
      </w:r>
      <w:r>
        <w:rPr>
          <w:rFonts w:hint="default" w:ascii="Times New Roman" w:hAnsi="Times New Roman" w:eastAsia="仿宋" w:cs="Times New Roman"/>
          <w:b/>
          <w:bCs/>
          <w:color w:val="auto"/>
          <w:sz w:val="32"/>
          <w:highlight w:val="none"/>
          <w:lang w:eastAsia="zh-CN"/>
        </w:rPr>
        <w:t>。</w:t>
      </w:r>
      <w:r>
        <w:rPr>
          <w:rFonts w:hint="default" w:ascii="Times New Roman" w:hAnsi="Times New Roman" w:eastAsia="仿宋_GB2312" w:cs="Times New Roman"/>
          <w:color w:val="auto"/>
          <w:kern w:val="2"/>
          <w:sz w:val="32"/>
          <w:szCs w:val="32"/>
          <w:lang w:val="en-US" w:eastAsia="zh-CN" w:bidi="ar-SA"/>
        </w:rPr>
        <w:t>加大对智能农业装备的研发和推广力度，鼓励农</w:t>
      </w:r>
      <w:r>
        <w:rPr>
          <w:rFonts w:hint="default" w:ascii="Times New Roman" w:hAnsi="Times New Roman" w:eastAsia="仿宋_GB2312" w:cs="Times New Roman"/>
          <w:color w:val="auto"/>
          <w:kern w:val="2"/>
          <w:sz w:val="32"/>
          <w:szCs w:val="32"/>
          <w:lang w:val="en-US" w:eastAsia="zh-CN" w:bidi="ar-SA"/>
        </w:rPr>
        <w:t>牧</w:t>
      </w:r>
      <w:r>
        <w:rPr>
          <w:rFonts w:hint="default" w:ascii="Times New Roman" w:hAnsi="Times New Roman" w:eastAsia="仿宋_GB2312" w:cs="Times New Roman"/>
          <w:color w:val="auto"/>
          <w:kern w:val="2"/>
          <w:sz w:val="32"/>
          <w:szCs w:val="32"/>
          <w:lang w:val="en-US" w:eastAsia="zh-CN" w:bidi="ar-SA"/>
        </w:rPr>
        <w:t>业企业、合作社和农户购置应用智能农机具、智能灌溉设备、智能养殖设备等。</w:t>
      </w:r>
      <w:r>
        <w:rPr>
          <w:rFonts w:hint="default" w:ascii="Times New Roman" w:hAnsi="Times New Roman" w:eastAsia="仿宋_GB2312" w:cs="Times New Roman"/>
          <w:color w:val="auto"/>
          <w:kern w:val="2"/>
          <w:sz w:val="32"/>
          <w:szCs w:val="32"/>
          <w:lang w:val="en-US" w:eastAsia="zh-CN" w:bidi="ar-SA"/>
        </w:rPr>
        <w:t>联合华中农业大学开展辣椒采摘机器人研发工作，确保取得成效。</w:t>
      </w:r>
      <w:r>
        <w:rPr>
          <w:rFonts w:hint="default" w:ascii="Times New Roman" w:hAnsi="Times New Roman" w:eastAsia="仿宋_GB2312" w:cs="Times New Roman"/>
          <w:color w:val="auto"/>
          <w:sz w:val="32"/>
          <w:szCs w:val="32"/>
          <w:lang w:eastAsia="zh-CN"/>
        </w:rPr>
        <w:t>推广深松、秸秆还田、精量播种、精准施药、设施养殖、饲草加工、畜禽粪污资源化利用等绿色高效机械装备和技术，推进作物品种、栽培技术和农机装备集成配套。</w:t>
      </w:r>
    </w:p>
    <w:p w14:paraId="0262BEA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 w:cs="Times New Roman"/>
          <w:b w:val="0"/>
          <w:bCs w:val="0"/>
          <w:color w:val="auto"/>
          <w:sz w:val="32"/>
          <w:highlight w:val="none"/>
          <w:lang w:val="en-US" w:eastAsia="zh-CN"/>
        </w:rPr>
      </w:pPr>
      <w:r>
        <w:rPr>
          <w:rFonts w:hint="default" w:ascii="Times New Roman" w:hAnsi="Times New Roman" w:eastAsia="楷体" w:cs="Times New Roman"/>
          <w:b w:val="0"/>
          <w:bCs w:val="0"/>
          <w:color w:val="auto"/>
          <w:sz w:val="32"/>
          <w:highlight w:val="none"/>
        </w:rPr>
        <w:t>（</w:t>
      </w:r>
      <w:r>
        <w:rPr>
          <w:rFonts w:hint="default" w:ascii="Times New Roman" w:hAnsi="Times New Roman" w:eastAsia="楷体" w:cs="Times New Roman"/>
          <w:b w:val="0"/>
          <w:bCs w:val="0"/>
          <w:color w:val="auto"/>
          <w:sz w:val="32"/>
          <w:highlight w:val="none"/>
          <w:lang w:val="en-US" w:eastAsia="zh-CN"/>
        </w:rPr>
        <w:t>三</w:t>
      </w:r>
      <w:r>
        <w:rPr>
          <w:rFonts w:hint="default" w:ascii="Times New Roman" w:hAnsi="Times New Roman" w:eastAsia="楷体" w:cs="Times New Roman"/>
          <w:b w:val="0"/>
          <w:bCs w:val="0"/>
          <w:color w:val="auto"/>
          <w:sz w:val="32"/>
          <w:highlight w:val="none"/>
        </w:rPr>
        <w:t>）</w:t>
      </w:r>
      <w:r>
        <w:rPr>
          <w:rFonts w:hint="default" w:ascii="Times New Roman" w:hAnsi="Times New Roman" w:eastAsia="楷体" w:cs="Times New Roman"/>
          <w:b w:val="0"/>
          <w:bCs w:val="0"/>
          <w:color w:val="auto"/>
          <w:sz w:val="32"/>
          <w:highlight w:val="none"/>
          <w:lang w:val="en-US" w:eastAsia="zh-CN"/>
        </w:rPr>
        <w:t>扩大</w:t>
      </w:r>
      <w:r>
        <w:rPr>
          <w:rFonts w:hint="default" w:ascii="Times New Roman" w:hAnsi="Times New Roman" w:eastAsia="楷体" w:cs="Times New Roman"/>
          <w:b w:val="0"/>
          <w:bCs w:val="0"/>
          <w:color w:val="auto"/>
          <w:sz w:val="32"/>
          <w:highlight w:val="none"/>
        </w:rPr>
        <w:t>农牧业生产数字化</w:t>
      </w:r>
      <w:r>
        <w:rPr>
          <w:rFonts w:hint="default" w:ascii="Times New Roman" w:hAnsi="Times New Roman" w:eastAsia="楷体" w:cs="Times New Roman"/>
          <w:b w:val="0"/>
          <w:bCs w:val="0"/>
          <w:color w:val="auto"/>
          <w:sz w:val="32"/>
          <w:highlight w:val="none"/>
          <w:lang w:val="en-US" w:eastAsia="zh-CN"/>
        </w:rPr>
        <w:t>应用场景</w:t>
      </w:r>
    </w:p>
    <w:p w14:paraId="0BC2C8D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 w:cs="Times New Roman"/>
          <w:b/>
          <w:bCs/>
          <w:color w:val="auto"/>
          <w:sz w:val="32"/>
          <w:highlight w:val="none"/>
          <w:lang w:val="en-US" w:eastAsia="zh-CN"/>
        </w:rPr>
        <w:t>7</w:t>
      </w:r>
      <w:r>
        <w:rPr>
          <w:rFonts w:hint="default" w:ascii="Times New Roman" w:hAnsi="Times New Roman" w:eastAsia="仿宋" w:cs="Times New Roman"/>
          <w:b/>
          <w:bCs/>
          <w:color w:val="auto"/>
          <w:sz w:val="32"/>
          <w:highlight w:val="none"/>
        </w:rPr>
        <w:t>.建设智慧种植基地。</w:t>
      </w:r>
      <w:r>
        <w:rPr>
          <w:rFonts w:hint="default" w:ascii="Times New Roman" w:hAnsi="Times New Roman" w:eastAsia="仿宋_GB2312" w:cs="Times New Roman"/>
          <w:color w:val="auto"/>
          <w:sz w:val="32"/>
          <w:szCs w:val="32"/>
          <w:lang w:val="en-US" w:eastAsia="zh-CN"/>
        </w:rPr>
        <w:t>聚焦</w:t>
      </w:r>
      <w:r>
        <w:rPr>
          <w:rFonts w:hint="default" w:ascii="Times New Roman" w:hAnsi="Times New Roman" w:eastAsia="仿宋_GB2312" w:cs="Times New Roman"/>
          <w:color w:val="auto"/>
          <w:sz w:val="32"/>
          <w:szCs w:val="32"/>
          <w:lang w:val="en-US" w:eastAsia="zh-CN"/>
        </w:rPr>
        <w:t>玉米等粮食</w:t>
      </w:r>
      <w:r>
        <w:rPr>
          <w:rFonts w:hint="default" w:ascii="Times New Roman" w:hAnsi="Times New Roman" w:eastAsia="仿宋_GB2312" w:cs="Times New Roman"/>
          <w:color w:val="auto"/>
          <w:sz w:val="32"/>
          <w:szCs w:val="32"/>
          <w:lang w:val="en-US" w:eastAsia="zh-CN"/>
        </w:rPr>
        <w:t>作物，推进良田良种良机良法与数字化技术有机融合，</w:t>
      </w:r>
      <w:r>
        <w:rPr>
          <w:rFonts w:hint="default" w:ascii="Times New Roman" w:hAnsi="Times New Roman" w:eastAsia="仿宋_GB2312" w:cs="Times New Roman"/>
          <w:color w:val="auto"/>
          <w:sz w:val="32"/>
          <w:szCs w:val="32"/>
          <w:lang w:val="en-US" w:eastAsia="zh-CN"/>
        </w:rPr>
        <w:t>推广应用</w:t>
      </w:r>
      <w:r>
        <w:rPr>
          <w:rFonts w:hint="default" w:ascii="Times New Roman" w:hAnsi="Times New Roman" w:eastAsia="仿宋_GB2312" w:cs="Times New Roman"/>
          <w:color w:val="auto"/>
          <w:sz w:val="32"/>
          <w:szCs w:val="32"/>
          <w:lang w:val="en-US" w:eastAsia="zh-CN"/>
        </w:rPr>
        <w:t>大面积单产提升的数字化种植技术</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实现农业生产精准播种、精准施肥、精准灌溉、精准施药，提高农业生产科学</w:t>
      </w:r>
      <w:r>
        <w:rPr>
          <w:rFonts w:hint="default" w:ascii="Times New Roman" w:hAnsi="Times New Roman" w:eastAsia="仿宋_GB2312" w:cs="Times New Roman"/>
          <w:color w:val="auto"/>
          <w:sz w:val="32"/>
          <w:szCs w:val="32"/>
          <w:lang w:val="en-US" w:eastAsia="zh-CN"/>
        </w:rPr>
        <w:t>化</w:t>
      </w:r>
      <w:r>
        <w:rPr>
          <w:rFonts w:hint="default" w:ascii="Times New Roman" w:hAnsi="Times New Roman" w:eastAsia="仿宋_GB2312" w:cs="Times New Roman"/>
          <w:color w:val="auto"/>
          <w:sz w:val="32"/>
          <w:szCs w:val="32"/>
          <w:lang w:val="en-US" w:eastAsia="zh-CN"/>
        </w:rPr>
        <w:t>和精细化水平，</w:t>
      </w:r>
      <w:r>
        <w:rPr>
          <w:rFonts w:hint="default" w:ascii="Times New Roman" w:hAnsi="Times New Roman" w:eastAsia="仿宋_GB2312" w:cs="Times New Roman"/>
          <w:color w:val="auto"/>
          <w:sz w:val="32"/>
          <w:szCs w:val="32"/>
          <w:lang w:val="en-US" w:eastAsia="zh-CN"/>
        </w:rPr>
        <w:t>每年新增智慧农田1.5万亩以上</w:t>
      </w:r>
      <w:r>
        <w:rPr>
          <w:rFonts w:hint="default" w:ascii="Times New Roman" w:hAnsi="Times New Roman" w:eastAsia="仿宋_GB2312" w:cs="Times New Roman"/>
          <w:color w:val="auto"/>
          <w:sz w:val="32"/>
          <w:szCs w:val="32"/>
          <w:lang w:val="en-US" w:eastAsia="zh-CN"/>
        </w:rPr>
        <w:t>。在基地内安装智能灌溉系统、土壤墒情监测设备、病虫害智能监测预警设备等，实现种植过程精准化管理</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加强农田基础设施建设和改造升级，</w:t>
      </w:r>
      <w:r>
        <w:rPr>
          <w:rFonts w:hint="default" w:ascii="Times New Roman" w:hAnsi="Times New Roman" w:eastAsia="仿宋_GB2312" w:cs="Times New Roman"/>
          <w:color w:val="auto"/>
          <w:sz w:val="32"/>
          <w:szCs w:val="32"/>
          <w:lang w:val="en-US" w:eastAsia="zh-CN"/>
        </w:rPr>
        <w:t>推广高效节水灌溉技术，建设智慧节水家庭农场80个</w:t>
      </w:r>
      <w:r>
        <w:rPr>
          <w:rFonts w:hint="default" w:ascii="Times New Roman" w:hAnsi="Times New Roman" w:eastAsia="仿宋_GB2312" w:cs="Times New Roman"/>
          <w:color w:val="auto"/>
          <w:sz w:val="32"/>
          <w:szCs w:val="32"/>
          <w:lang w:val="en-US" w:eastAsia="zh-CN"/>
        </w:rPr>
        <w:t>。</w:t>
      </w:r>
    </w:p>
    <w:p w14:paraId="5BBEED4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 w:cs="Times New Roman"/>
          <w:b/>
          <w:bCs/>
          <w:color w:val="auto"/>
          <w:sz w:val="32"/>
          <w:highlight w:val="none"/>
          <w:lang w:val="en-US" w:eastAsia="zh-CN"/>
        </w:rPr>
        <w:t>8</w:t>
      </w:r>
      <w:r>
        <w:rPr>
          <w:rFonts w:hint="default" w:ascii="Times New Roman" w:hAnsi="Times New Roman" w:eastAsia="仿宋" w:cs="Times New Roman"/>
          <w:b/>
          <w:bCs/>
          <w:color w:val="auto"/>
          <w:sz w:val="32"/>
          <w:highlight w:val="none"/>
        </w:rPr>
        <w:t>.建设智慧养殖基地。</w:t>
      </w:r>
      <w:r>
        <w:rPr>
          <w:rFonts w:hint="default" w:ascii="Times New Roman" w:hAnsi="Times New Roman" w:eastAsia="仿宋_GB2312" w:cs="Times New Roman"/>
          <w:snapToGrid w:val="0"/>
          <w:color w:val="auto"/>
          <w:sz w:val="32"/>
          <w:szCs w:val="32"/>
          <w:lang w:val="en-US" w:eastAsia="zh-CN" w:bidi="ar-SA"/>
        </w:rPr>
        <w:t>引</w:t>
      </w:r>
      <w:r>
        <w:rPr>
          <w:rFonts w:hint="default" w:ascii="Times New Roman" w:hAnsi="Times New Roman" w:eastAsia="仿宋_GB2312" w:cs="Times New Roman"/>
          <w:color w:val="auto"/>
          <w:sz w:val="32"/>
          <w:szCs w:val="32"/>
          <w:lang w:val="en-US" w:eastAsia="zh-CN"/>
        </w:rPr>
        <w:t>导养殖场</w:t>
      </w:r>
      <w:r>
        <w:rPr>
          <w:rFonts w:hint="default" w:ascii="Times New Roman" w:hAnsi="Times New Roman" w:eastAsia="仿宋_GB2312" w:cs="Times New Roman"/>
          <w:color w:val="auto"/>
          <w:sz w:val="32"/>
          <w:szCs w:val="32"/>
          <w:lang w:val="en-US" w:eastAsia="zh-CN"/>
        </w:rPr>
        <w:t>、大户</w:t>
      </w:r>
      <w:r>
        <w:rPr>
          <w:rFonts w:hint="default" w:ascii="Times New Roman" w:hAnsi="Times New Roman" w:eastAsia="仿宋_GB2312" w:cs="Times New Roman"/>
          <w:color w:val="auto"/>
          <w:sz w:val="32"/>
          <w:szCs w:val="32"/>
          <w:lang w:val="en-US" w:eastAsia="zh-CN"/>
        </w:rPr>
        <w:t>开展智慧牧场建设，集成应用环境感知、电子标识、精准上料、畜禽粪污处理等智能化技术装备，实现畜禽养殖环境智能调控和精准饲喂</w:t>
      </w:r>
      <w:r>
        <w:rPr>
          <w:rFonts w:hint="default" w:ascii="Times New Roman" w:hAnsi="Times New Roman" w:eastAsia="仿宋_GB2312" w:cs="Times New Roman"/>
          <w:color w:val="auto"/>
          <w:sz w:val="32"/>
          <w:szCs w:val="32"/>
          <w:lang w:val="en-US" w:eastAsia="zh-CN"/>
        </w:rPr>
        <w:t>，每年建设智慧牧场50个</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引导</w:t>
      </w:r>
      <w:r>
        <w:rPr>
          <w:rFonts w:hint="default" w:ascii="Times New Roman" w:hAnsi="Times New Roman" w:eastAsia="仿宋_GB2312" w:cs="Times New Roman"/>
          <w:color w:val="auto"/>
          <w:sz w:val="32"/>
          <w:szCs w:val="32"/>
          <w:lang w:val="en-US" w:eastAsia="zh-CN"/>
        </w:rPr>
        <w:t>养殖、屠宰、饲料、兽药企业等数据直联直报，持续完善畜牧业生产监测点、畜产品价格监测点信息化管理手段。</w:t>
      </w:r>
      <w:r>
        <w:rPr>
          <w:rFonts w:hint="default" w:ascii="Times New Roman" w:hAnsi="Times New Roman" w:eastAsia="仿宋_GB2312" w:cs="Times New Roman"/>
          <w:snapToGrid w:val="0"/>
          <w:color w:val="auto"/>
          <w:sz w:val="32"/>
          <w:szCs w:val="32"/>
          <w:lang w:val="en-US" w:eastAsia="zh-CN" w:bidi="ar-SA"/>
        </w:rPr>
        <w:t>自主创新研发“数字草原智慧牧场系统”，实现草原生态环境监测和保护监测、牲畜活动轨迹、生长情况、健康状况等精准管理</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snapToGrid w:val="0"/>
          <w:color w:val="auto"/>
          <w:sz w:val="32"/>
          <w:szCs w:val="32"/>
          <w:lang w:val="en-US" w:eastAsia="zh-CN" w:bidi="ar-SA"/>
        </w:rPr>
        <w:t>利用数字化技术实现草原资源的可持续利用，</w:t>
      </w:r>
      <w:r>
        <w:rPr>
          <w:rFonts w:hint="default" w:ascii="Times New Roman" w:hAnsi="Times New Roman" w:eastAsia="仿宋_GB2312" w:cs="Times New Roman"/>
          <w:color w:val="auto"/>
          <w:sz w:val="32"/>
          <w:szCs w:val="32"/>
          <w:lang w:val="en-US" w:eastAsia="zh-CN"/>
        </w:rPr>
        <w:t>智慧草原面积达到15万亩</w:t>
      </w:r>
      <w:r>
        <w:rPr>
          <w:rFonts w:hint="default" w:ascii="Times New Roman" w:hAnsi="Times New Roman" w:eastAsia="仿宋_GB2312" w:cs="Times New Roman"/>
          <w:snapToGrid w:val="0"/>
          <w:color w:val="auto"/>
          <w:sz w:val="32"/>
          <w:szCs w:val="32"/>
          <w:lang w:val="en-US" w:eastAsia="zh-CN" w:bidi="ar-SA"/>
        </w:rPr>
        <w:t>。</w:t>
      </w:r>
    </w:p>
    <w:p w14:paraId="6642CB25">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 w:cs="Times New Roman"/>
          <w:b/>
          <w:bCs/>
          <w:color w:val="auto"/>
          <w:kern w:val="2"/>
          <w:sz w:val="32"/>
          <w:szCs w:val="24"/>
          <w:highlight w:val="none"/>
          <w:lang w:val="en-US" w:eastAsia="zh-CN" w:bidi="ar-SA"/>
        </w:rPr>
        <w:t>9.</w:t>
      </w:r>
      <w:r>
        <w:rPr>
          <w:rFonts w:hint="default" w:ascii="Times New Roman" w:hAnsi="Times New Roman" w:eastAsia="仿宋" w:cs="Times New Roman"/>
          <w:b/>
          <w:bCs/>
          <w:color w:val="auto"/>
          <w:kern w:val="2"/>
          <w:sz w:val="32"/>
          <w:szCs w:val="24"/>
          <w:highlight w:val="none"/>
          <w:lang w:val="en-US" w:eastAsia="zh-CN" w:bidi="ar-SA"/>
        </w:rPr>
        <w:t>发展智能农机</w:t>
      </w:r>
      <w:r>
        <w:rPr>
          <w:rFonts w:hint="default" w:ascii="Times New Roman" w:hAnsi="Times New Roman" w:eastAsia="仿宋" w:cs="Times New Roman"/>
          <w:b/>
          <w:bCs/>
          <w:color w:val="auto"/>
          <w:kern w:val="2"/>
          <w:sz w:val="32"/>
          <w:szCs w:val="24"/>
          <w:highlight w:val="none"/>
          <w:lang w:val="en-US" w:eastAsia="zh-CN" w:bidi="ar-SA"/>
        </w:rPr>
        <w:t>服务</w:t>
      </w:r>
      <w:r>
        <w:rPr>
          <w:rFonts w:hint="default" w:ascii="Times New Roman" w:hAnsi="Times New Roman" w:eastAsia="仿宋" w:cs="Times New Roman"/>
          <w:b/>
          <w:bCs/>
          <w:color w:val="auto"/>
          <w:kern w:val="2"/>
          <w:sz w:val="32"/>
          <w:szCs w:val="24"/>
          <w:highlight w:val="none"/>
          <w:lang w:val="en-US" w:eastAsia="zh-CN" w:bidi="ar-SA"/>
        </w:rPr>
        <w:t>。</w:t>
      </w:r>
      <w:r>
        <w:rPr>
          <w:rFonts w:hint="default" w:ascii="Times New Roman" w:hAnsi="Times New Roman" w:eastAsia="仿宋_GB2312" w:cs="Times New Roman"/>
          <w:color w:val="auto"/>
          <w:sz w:val="32"/>
          <w:szCs w:val="32"/>
          <w:lang w:val="en-US" w:eastAsia="zh-CN"/>
        </w:rPr>
        <w:t>大力发展智能农机，引导</w:t>
      </w:r>
      <w:r>
        <w:rPr>
          <w:rFonts w:hint="default" w:ascii="Times New Roman" w:hAnsi="Times New Roman" w:eastAsia="仿宋_GB2312" w:cs="Times New Roman"/>
          <w:color w:val="auto"/>
          <w:sz w:val="32"/>
          <w:szCs w:val="32"/>
          <w:lang w:val="en-US" w:eastAsia="zh-CN"/>
        </w:rPr>
        <w:t>专业合作社、农牧户为</w:t>
      </w:r>
      <w:r>
        <w:rPr>
          <w:rFonts w:hint="default" w:ascii="Times New Roman" w:hAnsi="Times New Roman" w:eastAsia="仿宋_GB2312" w:cs="Times New Roman"/>
          <w:color w:val="auto"/>
          <w:sz w:val="32"/>
          <w:szCs w:val="32"/>
          <w:lang w:val="en-US" w:eastAsia="zh-CN"/>
        </w:rPr>
        <w:t>农机装备配备北斗辅助驾驶等系统设备终端，提高精准作业水平</w:t>
      </w:r>
      <w:r>
        <w:rPr>
          <w:rFonts w:hint="default"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sz w:val="32"/>
          <w:szCs w:val="32"/>
          <w:lang w:val="en-US" w:eastAsia="zh-CN"/>
        </w:rPr>
        <w:t>建设1个农机装备研产推用县域一体化试验场，每年</w:t>
      </w:r>
      <w:r>
        <w:rPr>
          <w:rFonts w:hint="default" w:ascii="Times New Roman" w:hAnsi="Times New Roman" w:eastAsia="仿宋_GB2312" w:cs="Times New Roman"/>
          <w:color w:val="auto"/>
          <w:kern w:val="2"/>
          <w:sz w:val="32"/>
          <w:szCs w:val="32"/>
          <w:lang w:val="en-US" w:eastAsia="zh-CN" w:bidi="ar-SA"/>
        </w:rPr>
        <w:t>培育智慧农机合作社或大户15个。</w:t>
      </w:r>
      <w:r>
        <w:rPr>
          <w:rFonts w:hint="default" w:ascii="Times New Roman" w:hAnsi="Times New Roman" w:eastAsia="仿宋_GB2312" w:cs="Times New Roman"/>
          <w:color w:val="auto"/>
          <w:sz w:val="32"/>
          <w:szCs w:val="32"/>
          <w:lang w:val="en-US" w:eastAsia="zh-CN"/>
        </w:rPr>
        <w:t>积极争取“人工智能+农机”典型应用场景项目和无人农业作业试验区等项目，全旗新增北斗导航智慧农机100台。落实好</w:t>
      </w:r>
      <w:r>
        <w:rPr>
          <w:rFonts w:hint="default" w:ascii="Times New Roman" w:hAnsi="Times New Roman" w:eastAsia="仿宋_GB2312" w:cs="Times New Roman"/>
          <w:color w:val="auto"/>
          <w:sz w:val="32"/>
          <w:szCs w:val="32"/>
          <w:lang w:val="en-US" w:eastAsia="zh-CN"/>
        </w:rPr>
        <w:t>植保无人机购置补贴，推广无人机在喷药、施肥</w:t>
      </w:r>
      <w:r>
        <w:rPr>
          <w:rFonts w:hint="default" w:ascii="Times New Roman" w:hAnsi="Times New Roman" w:eastAsia="仿宋_GB2312" w:cs="Times New Roman"/>
          <w:color w:val="auto"/>
          <w:sz w:val="32"/>
          <w:szCs w:val="32"/>
          <w:lang w:val="en-US" w:eastAsia="zh-CN"/>
        </w:rPr>
        <w:t>等领域</w:t>
      </w:r>
      <w:r>
        <w:rPr>
          <w:rFonts w:hint="default" w:ascii="Times New Roman" w:hAnsi="Times New Roman" w:eastAsia="仿宋_GB2312" w:cs="Times New Roman"/>
          <w:color w:val="auto"/>
          <w:sz w:val="32"/>
          <w:szCs w:val="32"/>
          <w:lang w:val="en-US" w:eastAsia="zh-CN"/>
        </w:rPr>
        <w:t>的应用。</w:t>
      </w:r>
      <w:r>
        <w:rPr>
          <w:rFonts w:hint="default" w:ascii="Times New Roman" w:hAnsi="Times New Roman" w:eastAsia="仿宋_GB2312" w:cs="Times New Roman"/>
          <w:color w:val="auto"/>
          <w:kern w:val="2"/>
          <w:sz w:val="32"/>
          <w:szCs w:val="32"/>
          <w:lang w:val="en-US" w:eastAsia="zh-CN" w:bidi="ar-SA"/>
        </w:rPr>
        <w:t>聚焦传感器、智能控制等核心技术，</w:t>
      </w:r>
      <w:r>
        <w:rPr>
          <w:rFonts w:hint="default" w:ascii="Times New Roman" w:hAnsi="Times New Roman" w:eastAsia="仿宋_GB2312" w:cs="Times New Roman"/>
          <w:color w:val="auto"/>
          <w:kern w:val="2"/>
          <w:sz w:val="32"/>
          <w:szCs w:val="32"/>
          <w:lang w:val="en-US" w:eastAsia="zh-CN" w:bidi="ar-SA"/>
        </w:rPr>
        <w:t>配备理化检测箱、气象传感器、土壤传感器、智能无人机等，大力推广“移动微服务站”服务模式，实现智慧管理服务全覆盖。</w:t>
      </w:r>
    </w:p>
    <w:p w14:paraId="546078FF">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 w:cs="Times New Roman"/>
          <w:b/>
          <w:bCs/>
          <w:color w:val="auto"/>
          <w:kern w:val="2"/>
          <w:sz w:val="32"/>
          <w:szCs w:val="24"/>
          <w:highlight w:val="none"/>
          <w:lang w:val="en-US" w:eastAsia="zh-CN" w:bidi="ar-SA"/>
        </w:rPr>
        <w:t>10.发展智慧精深加工。</w:t>
      </w:r>
      <w:r>
        <w:rPr>
          <w:rFonts w:hint="default" w:ascii="Times New Roman" w:hAnsi="Times New Roman" w:eastAsia="仿宋_GB2312" w:cs="Times New Roman"/>
          <w:color w:val="auto"/>
          <w:kern w:val="2"/>
          <w:sz w:val="32"/>
          <w:szCs w:val="32"/>
          <w:lang w:val="en-US" w:eastAsia="zh-CN" w:bidi="ar-SA"/>
        </w:rPr>
        <w:t>鼓励农畜产品加工企业引进智能化加工设备和技术，实现自动化、智能化生产加工。建设农畜产品质量追溯体系，利用物联网、大数据、区块链等技术，</w:t>
      </w:r>
      <w:r>
        <w:rPr>
          <w:rFonts w:hint="default" w:ascii="Times New Roman" w:hAnsi="Times New Roman" w:eastAsia="仿宋_GB2312" w:cs="Times New Roman"/>
          <w:color w:val="auto"/>
          <w:sz w:val="32"/>
          <w:szCs w:val="32"/>
          <w:lang w:val="en-US" w:eastAsia="zh-CN"/>
        </w:rPr>
        <w:t>推动农畜产品生产、加工、流通、销售各环节数据互联互通，保障食品安全和消费者知情权。引导农畜产品产地市场和加工流通企业数字化改造，集成应用清选分级、品质检测、加工包装、冷藏保鲜等智能设施设备，培育发展智能化、高端化现代加工仓储模式。</w:t>
      </w:r>
    </w:p>
    <w:p w14:paraId="1232637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 w:cs="Times New Roman"/>
          <w:b w:val="0"/>
          <w:bCs w:val="0"/>
          <w:color w:val="auto"/>
          <w:sz w:val="32"/>
          <w:highlight w:val="none"/>
          <w:lang w:eastAsia="zh-CN"/>
        </w:rPr>
      </w:pPr>
      <w:r>
        <w:rPr>
          <w:rFonts w:hint="default" w:ascii="Times New Roman" w:hAnsi="Times New Roman" w:eastAsia="楷体" w:cs="Times New Roman"/>
          <w:b w:val="0"/>
          <w:bCs w:val="0"/>
          <w:color w:val="auto"/>
          <w:sz w:val="32"/>
          <w:highlight w:val="none"/>
        </w:rPr>
        <w:t>（四）强化农牧业数字技术创新应用</w:t>
      </w:r>
    </w:p>
    <w:p w14:paraId="2BFB289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 w:cs="Times New Roman"/>
          <w:b/>
          <w:bCs/>
          <w:color w:val="auto"/>
          <w:sz w:val="32"/>
          <w:highlight w:val="none"/>
          <w:lang w:val="en-US" w:eastAsia="zh-CN"/>
        </w:rPr>
        <w:t>11.健全技术推广服务体系。</w:t>
      </w:r>
      <w:r>
        <w:rPr>
          <w:rFonts w:hint="default" w:ascii="Times New Roman" w:hAnsi="Times New Roman" w:eastAsia="仿宋" w:cs="Times New Roman"/>
          <w:b w:val="0"/>
          <w:bCs w:val="0"/>
          <w:color w:val="auto"/>
          <w:sz w:val="32"/>
          <w:highlight w:val="none"/>
          <w:lang w:val="en-US" w:eastAsia="zh-CN"/>
        </w:rPr>
        <w:t>将</w:t>
      </w:r>
      <w:r>
        <w:rPr>
          <w:rFonts w:hint="default" w:ascii="Times New Roman" w:hAnsi="Times New Roman" w:eastAsia="仿宋_GB2312" w:cs="Times New Roman"/>
          <w:color w:val="auto"/>
          <w:sz w:val="32"/>
          <w:szCs w:val="32"/>
        </w:rPr>
        <w:t>智慧</w:t>
      </w:r>
      <w:r>
        <w:rPr>
          <w:rFonts w:hint="default" w:ascii="Times New Roman" w:hAnsi="Times New Roman" w:eastAsia="仿宋_GB2312" w:cs="Times New Roman"/>
          <w:color w:val="auto"/>
          <w:sz w:val="32"/>
          <w:szCs w:val="32"/>
          <w:lang w:val="en-US" w:eastAsia="zh-CN"/>
        </w:rPr>
        <w:t>农牧业</w:t>
      </w:r>
      <w:r>
        <w:rPr>
          <w:rFonts w:hint="default" w:ascii="Times New Roman" w:hAnsi="Times New Roman" w:eastAsia="仿宋_GB2312" w:cs="Times New Roman"/>
          <w:color w:val="auto"/>
          <w:sz w:val="32"/>
          <w:szCs w:val="32"/>
        </w:rPr>
        <w:t>技术装备纳入农技推广范围，加强智慧</w:t>
      </w:r>
      <w:r>
        <w:rPr>
          <w:rFonts w:hint="default" w:ascii="Times New Roman" w:hAnsi="Times New Roman" w:eastAsia="仿宋_GB2312" w:cs="Times New Roman"/>
          <w:color w:val="auto"/>
          <w:sz w:val="32"/>
          <w:szCs w:val="32"/>
          <w:lang w:val="en-US" w:eastAsia="zh-CN"/>
        </w:rPr>
        <w:t>农牧业</w:t>
      </w:r>
      <w:r>
        <w:rPr>
          <w:rFonts w:hint="default" w:ascii="Times New Roman" w:hAnsi="Times New Roman" w:eastAsia="仿宋_GB2312" w:cs="Times New Roman"/>
          <w:color w:val="auto"/>
          <w:sz w:val="32"/>
          <w:szCs w:val="32"/>
        </w:rPr>
        <w:t>技术指导和推广。每年组织遴选一批成熟技术装备，制定发布智慧</w:t>
      </w:r>
      <w:r>
        <w:rPr>
          <w:rFonts w:hint="default" w:ascii="Times New Roman" w:hAnsi="Times New Roman" w:eastAsia="仿宋_GB2312" w:cs="Times New Roman"/>
          <w:color w:val="auto"/>
          <w:sz w:val="32"/>
          <w:szCs w:val="32"/>
          <w:lang w:val="en-US" w:eastAsia="zh-CN"/>
        </w:rPr>
        <w:t>农牧业</w:t>
      </w:r>
      <w:r>
        <w:rPr>
          <w:rFonts w:hint="default" w:ascii="Times New Roman" w:hAnsi="Times New Roman" w:eastAsia="仿宋_GB2312" w:cs="Times New Roman"/>
          <w:color w:val="auto"/>
          <w:sz w:val="32"/>
          <w:szCs w:val="32"/>
        </w:rPr>
        <w:t>主推技术目录。支持农业科技创新</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鼓励</w:t>
      </w:r>
      <w:r>
        <w:rPr>
          <w:rFonts w:hint="default" w:ascii="Times New Roman" w:hAnsi="Times New Roman" w:eastAsia="仿宋_GB2312" w:cs="Times New Roman"/>
          <w:color w:val="auto"/>
          <w:sz w:val="32"/>
          <w:szCs w:val="32"/>
          <w:lang w:eastAsia="zh-CN"/>
        </w:rPr>
        <w:t>农牧业</w:t>
      </w:r>
      <w:r>
        <w:rPr>
          <w:rFonts w:hint="default" w:ascii="Times New Roman" w:hAnsi="Times New Roman" w:eastAsia="仿宋_GB2312" w:cs="Times New Roman"/>
          <w:color w:val="auto"/>
          <w:sz w:val="32"/>
          <w:szCs w:val="32"/>
        </w:rPr>
        <w:t>企业与高校、科研院所合作，研发适合</w:t>
      </w:r>
      <w:r>
        <w:rPr>
          <w:rFonts w:hint="default" w:ascii="Times New Roman" w:hAnsi="Times New Roman" w:eastAsia="仿宋_GB2312" w:cs="Times New Roman"/>
          <w:color w:val="auto"/>
          <w:sz w:val="32"/>
          <w:szCs w:val="32"/>
          <w:lang w:eastAsia="zh-CN"/>
        </w:rPr>
        <w:t>我</w:t>
      </w:r>
      <w:r>
        <w:rPr>
          <w:rFonts w:hint="default" w:ascii="Times New Roman" w:hAnsi="Times New Roman" w:eastAsia="仿宋_GB2312" w:cs="Times New Roman"/>
          <w:color w:val="auto"/>
          <w:sz w:val="32"/>
          <w:szCs w:val="32"/>
        </w:rPr>
        <w:t>旗实际的数字化技术和装备。鼓励有条件的</w:t>
      </w:r>
      <w:r>
        <w:rPr>
          <w:rFonts w:hint="default" w:ascii="Times New Roman" w:hAnsi="Times New Roman" w:eastAsia="仿宋_GB2312" w:cs="Times New Roman"/>
          <w:color w:val="auto"/>
          <w:sz w:val="32"/>
          <w:szCs w:val="32"/>
          <w:lang w:val="en-US" w:eastAsia="zh-CN"/>
        </w:rPr>
        <w:t>农牧业</w:t>
      </w:r>
      <w:r>
        <w:rPr>
          <w:rFonts w:hint="default" w:ascii="Times New Roman" w:hAnsi="Times New Roman" w:eastAsia="仿宋_GB2312" w:cs="Times New Roman"/>
          <w:color w:val="auto"/>
          <w:sz w:val="32"/>
          <w:szCs w:val="32"/>
        </w:rPr>
        <w:t>社会化服务主体加快智慧</w:t>
      </w:r>
      <w:r>
        <w:rPr>
          <w:rFonts w:hint="default" w:ascii="Times New Roman" w:hAnsi="Times New Roman" w:eastAsia="仿宋_GB2312" w:cs="Times New Roman"/>
          <w:color w:val="auto"/>
          <w:sz w:val="32"/>
          <w:szCs w:val="32"/>
          <w:lang w:val="en-US" w:eastAsia="zh-CN"/>
        </w:rPr>
        <w:t>农牧业</w:t>
      </w:r>
      <w:r>
        <w:rPr>
          <w:rFonts w:hint="default" w:ascii="Times New Roman" w:hAnsi="Times New Roman" w:eastAsia="仿宋_GB2312" w:cs="Times New Roman"/>
          <w:color w:val="auto"/>
          <w:sz w:val="32"/>
          <w:szCs w:val="32"/>
        </w:rPr>
        <w:t>技术示范应用，</w:t>
      </w:r>
      <w:r>
        <w:rPr>
          <w:rFonts w:hint="default" w:ascii="Times New Roman" w:hAnsi="Times New Roman" w:eastAsia="仿宋_GB2312" w:cs="Times New Roman"/>
          <w:color w:val="auto"/>
          <w:kern w:val="2"/>
          <w:sz w:val="32"/>
          <w:szCs w:val="32"/>
          <w:lang w:val="en-US" w:eastAsia="zh-CN" w:bidi="ar-SA"/>
        </w:rPr>
        <w:t>开展农牧业生产经营全程托管、农业植保、农机作业、农牧业气象、防灾减灾等“私人定制”服务。</w:t>
      </w:r>
    </w:p>
    <w:p w14:paraId="16534CA0">
      <w:pPr>
        <w:pStyle w:val="16"/>
        <w:tabs>
          <w:tab w:val="right" w:leader="dot" w:pos="8834"/>
        </w:tabs>
        <w:ind w:firstLine="643" w:firstLineChars="200"/>
        <w:rPr>
          <w:rFonts w:hint="default" w:ascii="Times New Roman" w:hAnsi="Times New Roman" w:eastAsia="仿宋_GB2312" w:cs="Times New Roman"/>
          <w:color w:val="auto"/>
          <w:sz w:val="32"/>
          <w:szCs w:val="32"/>
        </w:rPr>
      </w:pPr>
      <w:r>
        <w:rPr>
          <w:rFonts w:hint="default" w:ascii="Times New Roman" w:hAnsi="Times New Roman" w:eastAsia="仿宋" w:cs="Times New Roman"/>
          <w:b/>
          <w:bCs/>
          <w:color w:val="auto"/>
          <w:sz w:val="32"/>
          <w:highlight w:val="none"/>
          <w:lang w:val="en-US" w:eastAsia="zh-CN"/>
        </w:rPr>
        <w:t>12.鼓励发展专业信息服务，</w:t>
      </w:r>
      <w:r>
        <w:rPr>
          <w:rFonts w:hint="default" w:ascii="Times New Roman" w:hAnsi="Times New Roman" w:eastAsia="仿宋_GB2312" w:cs="Times New Roman"/>
          <w:color w:val="auto"/>
          <w:sz w:val="32"/>
          <w:szCs w:val="32"/>
        </w:rPr>
        <w:t>支持农牧业社会化服务组织信息化建设，利用新一代信息技术</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建立智慧</w:t>
      </w:r>
      <w:r>
        <w:rPr>
          <w:rFonts w:hint="default" w:ascii="Times New Roman" w:hAnsi="Times New Roman" w:eastAsia="仿宋_GB2312" w:cs="Times New Roman"/>
          <w:color w:val="auto"/>
          <w:sz w:val="32"/>
          <w:szCs w:val="32"/>
          <w:lang w:val="en-US" w:eastAsia="zh-CN"/>
        </w:rPr>
        <w:t>农牧业</w:t>
      </w:r>
      <w:r>
        <w:rPr>
          <w:rFonts w:hint="default" w:ascii="Times New Roman" w:hAnsi="Times New Roman" w:eastAsia="仿宋_GB2312" w:cs="Times New Roman"/>
          <w:color w:val="auto"/>
          <w:sz w:val="32"/>
          <w:szCs w:val="32"/>
        </w:rPr>
        <w:t>信息发布平台，集中发布技术、装备、标准、政策等各类信息</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全面提升农牧业信息化发展水平，为政府决策、金融服务、农企对接、农牧民增收致富提供丰富准确的大数据信息，实现小生产与大市场的信息对称，促进产业精准到户、发展精准到人。</w:t>
      </w:r>
    </w:p>
    <w:p w14:paraId="467C7AF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 w:cs="Times New Roman"/>
          <w:b/>
          <w:bCs/>
          <w:color w:val="auto"/>
          <w:sz w:val="32"/>
          <w:highlight w:val="none"/>
          <w:lang w:val="en-US" w:eastAsia="zh-CN"/>
        </w:rPr>
        <w:t>1</w:t>
      </w:r>
      <w:r>
        <w:rPr>
          <w:rFonts w:hint="default" w:ascii="Times New Roman" w:hAnsi="Times New Roman" w:eastAsia="仿宋" w:cs="Times New Roman"/>
          <w:b/>
          <w:bCs/>
          <w:color w:val="auto"/>
          <w:sz w:val="32"/>
          <w:highlight w:val="none"/>
        </w:rPr>
        <w:t>3.加强数字技术人才培养。</w:t>
      </w:r>
      <w:r>
        <w:rPr>
          <w:rFonts w:hint="default" w:ascii="Times New Roman" w:hAnsi="Times New Roman" w:eastAsia="仿宋_GB2312" w:cs="Times New Roman"/>
          <w:color w:val="auto"/>
          <w:sz w:val="32"/>
          <w:szCs w:val="32"/>
        </w:rPr>
        <w:t>通过举办培训班、专题讲座等形式，加强对农牧民和农牧业从业人员的数字技术培训，</w:t>
      </w:r>
      <w:r>
        <w:rPr>
          <w:rFonts w:hint="default" w:ascii="Times New Roman" w:hAnsi="Times New Roman" w:eastAsia="仿宋_GB2312" w:cs="Times New Roman"/>
          <w:color w:val="auto"/>
          <w:sz w:val="32"/>
          <w:szCs w:val="32"/>
          <w:lang w:eastAsia="zh-CN"/>
        </w:rPr>
        <w:t>每年</w:t>
      </w:r>
      <w:r>
        <w:rPr>
          <w:rFonts w:hint="default" w:ascii="Times New Roman" w:hAnsi="Times New Roman" w:eastAsia="仿宋_GB2312" w:cs="Times New Roman"/>
          <w:color w:val="auto"/>
          <w:sz w:val="32"/>
          <w:szCs w:val="32"/>
        </w:rPr>
        <w:t>培训人数达到5000人次以上，涵盖数字技术基础知识、应用技能等方面，提高其数字素养和应用能力</w:t>
      </w:r>
      <w:r>
        <w:rPr>
          <w:rFonts w:hint="default" w:ascii="Times New Roman" w:hAnsi="Times New Roman" w:eastAsia="仿宋_GB2312" w:cs="Times New Roman"/>
          <w:color w:val="auto"/>
          <w:sz w:val="32"/>
          <w:szCs w:val="32"/>
          <w:lang w:eastAsia="zh-CN"/>
        </w:rPr>
        <w:t>。针对小农户和低收入群体，提供免费或低成本的数字技能培训。</w:t>
      </w:r>
      <w:r>
        <w:rPr>
          <w:rFonts w:hint="default" w:ascii="Times New Roman" w:hAnsi="Times New Roman" w:eastAsia="仿宋_GB2312" w:cs="Times New Roman"/>
          <w:color w:val="auto"/>
          <w:sz w:val="32"/>
          <w:szCs w:val="32"/>
        </w:rPr>
        <w:t>同时鼓励支持农牧民和农牧业企业加强与高校、科研院所等机构的合作与交流，共同培养数字化人才。</w:t>
      </w:r>
    </w:p>
    <w:p w14:paraId="415B3E4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 w:val="0"/>
          <w:bCs w:val="0"/>
          <w:color w:val="auto"/>
          <w:sz w:val="32"/>
          <w:highlight w:val="none"/>
          <w:lang w:val="en-US" w:eastAsia="zh-CN"/>
        </w:rPr>
      </w:pPr>
      <w:r>
        <w:rPr>
          <w:rFonts w:hint="default" w:ascii="Times New Roman" w:hAnsi="Times New Roman" w:eastAsia="黑体" w:cs="Times New Roman"/>
          <w:b w:val="0"/>
          <w:bCs w:val="0"/>
          <w:color w:val="auto"/>
          <w:sz w:val="32"/>
          <w:highlight w:val="none"/>
          <w:lang w:eastAsia="zh-CN"/>
        </w:rPr>
        <w:t>三、</w:t>
      </w:r>
      <w:r>
        <w:rPr>
          <w:rFonts w:hint="default" w:ascii="Times New Roman" w:hAnsi="Times New Roman" w:eastAsia="黑体" w:cs="Times New Roman"/>
          <w:b w:val="0"/>
          <w:bCs w:val="0"/>
          <w:color w:val="auto"/>
          <w:sz w:val="32"/>
          <w:highlight w:val="none"/>
          <w:lang w:val="en-US" w:eastAsia="zh-CN"/>
        </w:rPr>
        <w:t>实施重点项目</w:t>
      </w:r>
    </w:p>
    <w:p w14:paraId="2DE67046">
      <w:pPr>
        <w:pStyle w:val="16"/>
        <w:keepNext w:val="0"/>
        <w:keepLines w:val="0"/>
        <w:pageBreakBefore w:val="0"/>
        <w:widowControl w:val="0"/>
        <w:tabs>
          <w:tab w:val="right" w:leader="dot" w:pos="8834"/>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color w:val="auto"/>
        </w:rPr>
      </w:pPr>
      <w:r>
        <w:rPr>
          <w:rFonts w:hint="default" w:ascii="Times New Roman" w:hAnsi="Times New Roman" w:eastAsia="仿宋_GB2312" w:cs="Times New Roman"/>
          <w:color w:val="auto"/>
          <w:kern w:val="2"/>
          <w:sz w:val="32"/>
          <w:szCs w:val="32"/>
          <w:lang w:val="en-US" w:eastAsia="zh-CN" w:bidi="ar-SA"/>
        </w:rPr>
        <w:t>农牧业数字化拟实施项目6个，总投资6.41亿元，涵盖了农牧业生产、管理、销售等多个关键环节，通过“政府+企业”投资方式，旨在通过数字化技术的深度应用，推动农牧业数字化进程，</w:t>
      </w:r>
      <w:r>
        <w:rPr>
          <w:rFonts w:hint="default" w:ascii="Times New Roman" w:hAnsi="Times New Roman" w:eastAsia="仿宋_GB2312" w:cs="Times New Roman"/>
          <w:strike w:val="0"/>
          <w:dstrike w:val="0"/>
          <w:color w:val="auto"/>
          <w:kern w:val="2"/>
          <w:sz w:val="32"/>
          <w:szCs w:val="32"/>
          <w:lang w:val="en-US" w:eastAsia="zh-CN" w:bidi="ar-SA"/>
        </w:rPr>
        <w:t>提升农牧业生产效率和质量，</w:t>
      </w:r>
      <w:r>
        <w:rPr>
          <w:rFonts w:hint="default" w:ascii="Times New Roman" w:hAnsi="Times New Roman" w:eastAsia="仿宋_GB2312" w:cs="Times New Roman"/>
          <w:color w:val="auto"/>
          <w:kern w:val="2"/>
          <w:sz w:val="32"/>
          <w:szCs w:val="32"/>
          <w:lang w:val="en-US" w:eastAsia="zh-CN" w:bidi="ar-SA"/>
        </w:rPr>
        <w:t>实现传统农牧业向数字化、智能化、绿色化的华丽转变，为农牧业现代化注入新的活力，开创乡村产业发展的新局面。</w:t>
      </w:r>
    </w:p>
    <w:p w14:paraId="2FBF695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 w:val="0"/>
          <w:bCs w:val="0"/>
          <w:color w:val="auto"/>
          <w:sz w:val="32"/>
          <w:highlight w:val="none"/>
        </w:rPr>
      </w:pPr>
      <w:r>
        <w:rPr>
          <w:rFonts w:hint="default" w:ascii="Times New Roman" w:hAnsi="Times New Roman" w:eastAsia="黑体" w:cs="Times New Roman"/>
          <w:b w:val="0"/>
          <w:bCs w:val="0"/>
          <w:color w:val="auto"/>
          <w:sz w:val="32"/>
          <w:highlight w:val="none"/>
          <w:lang w:val="en-US" w:eastAsia="zh-CN"/>
        </w:rPr>
        <w:t>四、</w:t>
      </w:r>
      <w:r>
        <w:rPr>
          <w:rFonts w:hint="default" w:ascii="Times New Roman" w:hAnsi="Times New Roman" w:eastAsia="黑体" w:cs="Times New Roman"/>
          <w:b w:val="0"/>
          <w:bCs w:val="0"/>
          <w:color w:val="auto"/>
          <w:sz w:val="32"/>
          <w:highlight w:val="none"/>
        </w:rPr>
        <w:t>保障措施</w:t>
      </w:r>
    </w:p>
    <w:p w14:paraId="5F8B642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各镇、各相关部门要将农牧业数字化发展作为推进农牧业现代化发展和数字乡村建设的重要抓手，要高度重视，大力推进。要积极争取上级政策，加大已有项目扶持力度，统筹利用中央、自治区、市级预算内投资、重大科技项目、数字经济项目、大规模设备更新及乡村振兴产业发展基金等多种资金渠道，形成支持农牧业数字化发展政策合力。将智慧农牧业技术装备纳入农技推广范围，强化智慧农牧业技术指导和推广。结合高素质农民培育、乡村产业带头人（头雁）培育等项目，加强智慧农牧业技术知识和实操能力培训。及时总结宣传推进农牧业数字化发展的典型经验和创新做法，营造促进智慧农牧业发展的良好氛围。</w:t>
      </w:r>
    </w:p>
    <w:p w14:paraId="0E594B8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32"/>
          <w:szCs w:val="32"/>
          <w:lang w:val="en-US" w:eastAsia="zh-CN"/>
        </w:rPr>
        <w:br w:type="page"/>
      </w:r>
      <w:r>
        <w:rPr>
          <w:rFonts w:hint="default" w:ascii="Times New Roman" w:hAnsi="Times New Roman" w:eastAsia="方正小标宋简体" w:cs="Times New Roman"/>
          <w:color w:val="auto"/>
          <w:sz w:val="28"/>
          <w:szCs w:val="36"/>
          <w:lang w:val="en-US" w:eastAsia="zh-CN"/>
        </w:rPr>
        <w:t>鄂托克前旗农牧业数字化发展行动实施项目统计表</w:t>
      </w:r>
    </w:p>
    <w:tbl>
      <w:tblPr>
        <w:tblStyle w:val="18"/>
        <w:tblW w:w="9630" w:type="dxa"/>
        <w:tblInd w:w="-23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05"/>
        <w:gridCol w:w="1470"/>
        <w:gridCol w:w="4860"/>
        <w:gridCol w:w="750"/>
        <w:gridCol w:w="900"/>
        <w:gridCol w:w="725"/>
        <w:gridCol w:w="520"/>
      </w:tblGrid>
      <w:tr w14:paraId="59FDE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9"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3D9B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序号</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BA35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项目名称</w:t>
            </w: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B276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建设内容及规模</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8813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投资类型</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AC29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总投资（万元）</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D5AA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建设年限</w:t>
            </w:r>
          </w:p>
        </w:tc>
        <w:tc>
          <w:tcPr>
            <w:tcW w:w="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A6ED7">
            <w:pPr>
              <w:keepNext w:val="0"/>
              <w:keepLines w:val="0"/>
              <w:widowControl/>
              <w:suppressLineNumbers w:val="0"/>
              <w:jc w:val="left"/>
              <w:textAlignment w:val="center"/>
              <w:rPr>
                <w:rFonts w:hint="default" w:ascii="Times New Roman" w:hAnsi="Times New Roman" w:eastAsia="宋体" w:cs="Times New Roman"/>
                <w:b/>
                <w:bCs/>
                <w:i w:val="0"/>
                <w:iCs w:val="0"/>
                <w:color w:val="000000"/>
                <w:sz w:val="18"/>
                <w:szCs w:val="18"/>
                <w:u w:val="none"/>
                <w:lang w:val="en-US" w:eastAsia="zh-CN"/>
              </w:rPr>
            </w:pPr>
            <w:r>
              <w:rPr>
                <w:rFonts w:hint="default" w:ascii="Times New Roman" w:hAnsi="Times New Roman" w:eastAsia="宋体" w:cs="Times New Roman"/>
                <w:b/>
                <w:bCs/>
                <w:i w:val="0"/>
                <w:iCs w:val="0"/>
                <w:color w:val="000000"/>
                <w:sz w:val="18"/>
                <w:szCs w:val="18"/>
                <w:u w:val="none"/>
                <w:lang w:val="en-US" w:eastAsia="zh-CN"/>
              </w:rPr>
              <w:t>备注</w:t>
            </w:r>
          </w:p>
        </w:tc>
      </w:tr>
      <w:tr w14:paraId="5019B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67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FB0C04">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合计</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B4B42">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6198B">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64100</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69874">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p>
        </w:tc>
        <w:tc>
          <w:tcPr>
            <w:tcW w:w="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75D7D">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8"/>
                <w:szCs w:val="18"/>
                <w:u w:val="none"/>
                <w:lang w:val="en-US" w:eastAsia="zh-CN" w:bidi="ar"/>
              </w:rPr>
            </w:pPr>
          </w:p>
        </w:tc>
      </w:tr>
      <w:tr w14:paraId="2B9F0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2"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9BFD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1</w:t>
            </w:r>
          </w:p>
        </w:tc>
        <w:tc>
          <w:tcPr>
            <w:tcW w:w="1470" w:type="dxa"/>
            <w:tcBorders>
              <w:top w:val="single" w:color="000000" w:sz="4" w:space="0"/>
              <w:left w:val="single" w:color="000000" w:sz="4" w:space="0"/>
              <w:bottom w:val="nil"/>
              <w:right w:val="single" w:color="000000" w:sz="4" w:space="0"/>
            </w:tcBorders>
            <w:shd w:val="clear" w:color="auto" w:fill="auto"/>
            <w:vAlign w:val="center"/>
          </w:tcPr>
          <w:p w14:paraId="7F2C379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鄂托克前旗2026年智慧小流量滴灌示范项目</w:t>
            </w:r>
          </w:p>
        </w:tc>
        <w:tc>
          <w:tcPr>
            <w:tcW w:w="4860" w:type="dxa"/>
            <w:tcBorders>
              <w:top w:val="single" w:color="000000" w:sz="4" w:space="0"/>
              <w:left w:val="single" w:color="000000" w:sz="4" w:space="0"/>
              <w:bottom w:val="nil"/>
              <w:right w:val="single" w:color="000000" w:sz="4" w:space="0"/>
            </w:tcBorders>
            <w:shd w:val="clear" w:color="auto" w:fill="auto"/>
            <w:vAlign w:val="center"/>
          </w:tcPr>
          <w:p w14:paraId="12BC723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推广智慧小流量滴灌面积2.5万亩，新建智能一体化云首部设备300套，300m³装配式调蓄水池300座，配置相关设施设备。</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50614FF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政府投资</w:t>
            </w:r>
          </w:p>
        </w:tc>
        <w:tc>
          <w:tcPr>
            <w:tcW w:w="900" w:type="dxa"/>
            <w:tcBorders>
              <w:top w:val="single" w:color="000000" w:sz="4" w:space="0"/>
              <w:left w:val="single" w:color="000000" w:sz="4" w:space="0"/>
              <w:bottom w:val="nil"/>
              <w:right w:val="single" w:color="000000" w:sz="4" w:space="0"/>
            </w:tcBorders>
            <w:shd w:val="clear" w:color="auto" w:fill="auto"/>
            <w:noWrap/>
            <w:vAlign w:val="center"/>
          </w:tcPr>
          <w:p w14:paraId="48D629A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10000</w:t>
            </w:r>
          </w:p>
        </w:tc>
        <w:tc>
          <w:tcPr>
            <w:tcW w:w="725" w:type="dxa"/>
            <w:tcBorders>
              <w:top w:val="single" w:color="000000" w:sz="4" w:space="0"/>
              <w:left w:val="single" w:color="000000" w:sz="4" w:space="0"/>
              <w:bottom w:val="nil"/>
              <w:right w:val="single" w:color="000000" w:sz="4" w:space="0"/>
            </w:tcBorders>
            <w:shd w:val="clear" w:color="auto" w:fill="auto"/>
            <w:noWrap/>
            <w:vAlign w:val="center"/>
          </w:tcPr>
          <w:p w14:paraId="420DE98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2026</w:t>
            </w:r>
          </w:p>
        </w:tc>
        <w:tc>
          <w:tcPr>
            <w:tcW w:w="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3F82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p>
        </w:tc>
      </w:tr>
      <w:tr w14:paraId="6BE30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7"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6513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2</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2BF1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鄂托克前旗农事服务中心</w:t>
            </w: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0E76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建设集科研试验、农机调度、农资应急储备、农机设备储备、农产品质量检测，聚焦品种选育、绿色种植技术、病虫害绿色防控、农产品贮藏加工、农业物联网应用等，配套科研服务团队与协作平台，实现农户需求发布、农机手接单、作业轨迹监控功能及储备种子、化肥、农药等核心农资应急配送；储备耕整、种植、收获、应急类农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6CD0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政府投资</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E78B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6000</w:t>
            </w: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008B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2026</w:t>
            </w:r>
          </w:p>
        </w:tc>
        <w:tc>
          <w:tcPr>
            <w:tcW w:w="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0731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p>
        </w:tc>
      </w:tr>
      <w:tr w14:paraId="5BAF7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7"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5DBA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3</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C135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鄂托克前旗高效节水和智慧水肥一体化耕地地力提升项目</w:t>
            </w: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D99B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在1万亩耕地内，铺设地埋输水管道，配套安装智能水肥一体化设备、智能远程灌溉设备、微灌设备，同时实施增施有机肥、秸秆还田、深耕深松等地力提升措施，配套农田输配电及田间道路工程，进一步提升项目区农业灌溉水利用率及耕地地力水平，全面提高粮食综合产能。</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5C98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政府投资</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CDE9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2000</w:t>
            </w: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3644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2026-2027</w:t>
            </w:r>
          </w:p>
        </w:tc>
        <w:tc>
          <w:tcPr>
            <w:tcW w:w="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BBF2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p>
        </w:tc>
      </w:tr>
      <w:tr w14:paraId="09EB1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7"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E6C2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4</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697F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鄂托克前旗玉米单产提升社会化技术服务项目</w:t>
            </w: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F67B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联合农业科研院所及本土技术团队，建立玉米单产提升行动社会化服务团队，研发“测土配方施肥+水肥一体化”“病虫害绿色防控（生物农药+物理诱捕）”等集成技术，提升技术服务的精准度与效率。搭建微信小程序或线上服务平台，实现“技术咨询在线答、病虫害远程诊断、培训课程直播看”，覆盖至少5000户种植户。</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A484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政府投资</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AB5E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600</w:t>
            </w: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4DD8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2026</w:t>
            </w:r>
          </w:p>
        </w:tc>
        <w:tc>
          <w:tcPr>
            <w:tcW w:w="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26EB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p>
        </w:tc>
      </w:tr>
      <w:tr w14:paraId="2C262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7"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7769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5</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1F2C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智能水肥精控节水灌溉装备研发制造项目</w:t>
            </w: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97D0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项目计划建设生产车间12807平方米，科研楼及办公楼5500平方米，生产线8条。主要经营业务包括：智能水肥一体化控制设备系统；水处理设备系统；高效节水灌溉设备系统；塑胶管材管件、阀门、农用薄膜及遮阳网的加工、销售、安装服务；水资源专用机械设备制造；智能仪器仪表销售；物联网应用服务；灌溉服务等业务。</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C00F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企业投资</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E605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20000</w:t>
            </w: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28CD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2026</w:t>
            </w:r>
          </w:p>
        </w:tc>
        <w:tc>
          <w:tcPr>
            <w:tcW w:w="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0789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p>
        </w:tc>
      </w:tr>
      <w:tr w14:paraId="4E002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70"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CC8C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6</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B3CB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智慧设施农业产业园项目</w:t>
            </w: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58F5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一期计划总投资约2.55亿元，建设面积15.3公顷，其中温室种植面积13.76公顷，能源中心及功能区建设面积1.54公顷，主要种植与选育樱桃番茄。</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14A2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企业投资</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B77D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25500</w:t>
            </w: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0AA6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2026-2027</w:t>
            </w:r>
          </w:p>
        </w:tc>
        <w:tc>
          <w:tcPr>
            <w:tcW w:w="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1EEC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18"/>
                <w:szCs w:val="18"/>
                <w:u w:val="none"/>
              </w:rPr>
            </w:pPr>
          </w:p>
        </w:tc>
      </w:tr>
    </w:tbl>
    <w:p w14:paraId="6094ACE5">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仿宋_GB2312" w:cs="Times New Roman"/>
          <w:color w:val="auto"/>
          <w:kern w:val="0"/>
          <w:sz w:val="32"/>
          <w:szCs w:val="32"/>
          <w:lang w:val="en-US" w:eastAsia="zh-CN" w:bidi="ar-SA"/>
        </w:rPr>
      </w:pPr>
    </w:p>
    <w:sectPr>
      <w:footerReference r:id="rId3" w:type="default"/>
      <w:pgSz w:w="11906" w:h="16838"/>
      <w:pgMar w:top="2098" w:right="1474" w:bottom="1984" w:left="1587" w:header="851" w:footer="992"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公文小标宋">
    <w:altName w:val="宋体"/>
    <w:panose1 w:val="02000500000000000000"/>
    <w:charset w:val="86"/>
    <w:family w:val="auto"/>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CESI黑体-GB2312">
    <w:altName w:val="黑体"/>
    <w:panose1 w:val="02000500000000000000"/>
    <w:charset w:val="86"/>
    <w:family w:val="auto"/>
    <w:pitch w:val="default"/>
    <w:sig w:usb0="00000000" w:usb1="00000000" w:usb2="00000012" w:usb3="00000000" w:csb0="0004000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D8980">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-422910</wp:posOffset>
              </wp:positionV>
              <wp:extent cx="1828800" cy="522605"/>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5226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F7C429">
                          <w:pPr>
                            <w:pStyle w:val="14"/>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wps:txbx>
                    <wps:bodyPr rot="0" spcFirstLastPara="0" vertOverflow="overflow" horzOverflow="overflow" vert="horz" wrap="non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33.3pt;height:41.15pt;width:144pt;mso-position-horizontal:outside;mso-position-horizontal-relative:margin;mso-wrap-style:none;z-index:251659264;mso-width-relative:page;mso-height-relative:page;" filled="f" stroked="f" coordsize="21600,21600" o:gfxdata="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kFejp1gAAAAcBAAAPAAAAAAAAAAEAIAAAACIAAABkcnMvZG93bnJldi54&#10;bWxQSwECFAAUAAAACACHTuJAFOZP4DUCAABgBAAADgAAAAAAAAABACAAAAAlAQAAZHJzL2Uyb0Rv&#10;Yy54bWxQSwUGAAAAAAYABgBZAQAAzAUAAAAA&#10;">
              <v:fill on="f" focussize="0,0"/>
              <v:stroke on="f" weight="0.5pt"/>
              <v:imagedata o:title=""/>
              <o:lock v:ext="edit" aspectratio="f"/>
              <v:textbox inset="0mm,0mm,0mm,0mm">
                <w:txbxContent>
                  <w:p w14:paraId="05F7C429">
                    <w:pPr>
                      <w:pStyle w:val="14"/>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5922D7"/>
    <w:multiLevelType w:val="multilevel"/>
    <w:tmpl w:val="BE5922D7"/>
    <w:lvl w:ilvl="0" w:tentative="0">
      <w:start w:val="1"/>
      <w:numFmt w:val="chineseCountingThousand"/>
      <w:suff w:val="space"/>
      <w:lvlText w:val="第%1章 "/>
      <w:lvlJc w:val="left"/>
      <w:pPr>
        <w:ind w:left="6160" w:firstLine="0"/>
      </w:pPr>
      <w:rPr>
        <w:rFonts w:hint="eastAsia"/>
      </w:rPr>
    </w:lvl>
    <w:lvl w:ilvl="1" w:tentative="0">
      <w:start w:val="1"/>
      <w:numFmt w:val="chineseCountingThousand"/>
      <w:suff w:val="nothing"/>
      <w:lvlText w:val="%2、"/>
      <w:lvlJc w:val="left"/>
      <w:pPr>
        <w:ind w:left="7294" w:firstLine="0"/>
      </w:pPr>
      <w:rPr>
        <w:rFonts w:hint="eastAsia"/>
      </w:rPr>
    </w:lvl>
    <w:lvl w:ilvl="2" w:tentative="0">
      <w:start w:val="1"/>
      <w:numFmt w:val="chineseCountingThousand"/>
      <w:pStyle w:val="5"/>
      <w:suff w:val="nothing"/>
      <w:lvlText w:val="（%3）"/>
      <w:lvlJc w:val="left"/>
      <w:pPr>
        <w:ind w:left="7777" w:firstLine="0"/>
      </w:pPr>
      <w:rPr>
        <w:rFonts w:hint="eastAsia"/>
      </w:rPr>
    </w:lvl>
    <w:lvl w:ilvl="3" w:tentative="0">
      <w:start w:val="1"/>
      <w:numFmt w:val="decimal"/>
      <w:pStyle w:val="6"/>
      <w:suff w:val="nothing"/>
      <w:lvlText w:val="%4、"/>
      <w:lvlJc w:val="left"/>
      <w:pPr>
        <w:ind w:left="6158" w:firstLine="0"/>
      </w:pPr>
      <w:rPr>
        <w:rFonts w:hint="eastAsia"/>
      </w:rPr>
    </w:lvl>
    <w:lvl w:ilvl="4" w:tentative="0">
      <w:start w:val="1"/>
      <w:numFmt w:val="decimal"/>
      <w:pStyle w:val="7"/>
      <w:suff w:val="nothing"/>
      <w:lvlText w:val="（%5）"/>
      <w:lvlJc w:val="left"/>
      <w:pPr>
        <w:ind w:left="6160" w:firstLine="0"/>
      </w:pPr>
      <w:rPr>
        <w:rFonts w:hint="eastAsia"/>
      </w:rPr>
    </w:lvl>
    <w:lvl w:ilvl="5" w:tentative="0">
      <w:start w:val="1"/>
      <w:numFmt w:val="decimal"/>
      <w:pStyle w:val="8"/>
      <w:suff w:val="nothing"/>
      <w:lvlText w:val="%6）"/>
      <w:lvlJc w:val="left"/>
      <w:pPr>
        <w:ind w:left="6160" w:firstLine="0"/>
      </w:pPr>
      <w:rPr>
        <w:rFonts w:hint="eastAsia"/>
      </w:rPr>
    </w:lvl>
    <w:lvl w:ilvl="6" w:tentative="0">
      <w:start w:val="1"/>
      <w:numFmt w:val="decimal"/>
      <w:lvlText w:val="%1.%2.%3.%4.%5.%6.%7"/>
      <w:lvlJc w:val="left"/>
      <w:pPr>
        <w:ind w:left="9987" w:hanging="1276"/>
      </w:pPr>
      <w:rPr>
        <w:rFonts w:hint="eastAsia"/>
      </w:rPr>
    </w:lvl>
    <w:lvl w:ilvl="7" w:tentative="0">
      <w:start w:val="1"/>
      <w:numFmt w:val="decimal"/>
      <w:lvlText w:val="%1.%2.%3.%4.%5.%6.%7.%8"/>
      <w:lvlJc w:val="left"/>
      <w:pPr>
        <w:ind w:left="10554" w:hanging="1418"/>
      </w:pPr>
      <w:rPr>
        <w:rFonts w:hint="eastAsia"/>
      </w:rPr>
    </w:lvl>
    <w:lvl w:ilvl="8" w:tentative="0">
      <w:start w:val="1"/>
      <w:numFmt w:val="decimal"/>
      <w:lvlText w:val="%1.%2.%3.%4.%5.%6.%7.%8.%9"/>
      <w:lvlJc w:val="left"/>
      <w:pPr>
        <w:ind w:left="1126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8570B"/>
    <w:rsid w:val="030803FF"/>
    <w:rsid w:val="03603259"/>
    <w:rsid w:val="03B31490"/>
    <w:rsid w:val="053E5AFA"/>
    <w:rsid w:val="05D56856"/>
    <w:rsid w:val="088A2643"/>
    <w:rsid w:val="08E720CC"/>
    <w:rsid w:val="0ABE395E"/>
    <w:rsid w:val="0ADB6DBA"/>
    <w:rsid w:val="0B5605CC"/>
    <w:rsid w:val="0BF72C57"/>
    <w:rsid w:val="0C6A2581"/>
    <w:rsid w:val="0CD40435"/>
    <w:rsid w:val="0E6F3E7F"/>
    <w:rsid w:val="0F775CD4"/>
    <w:rsid w:val="10312FB2"/>
    <w:rsid w:val="129524DA"/>
    <w:rsid w:val="12A470D7"/>
    <w:rsid w:val="13B10A95"/>
    <w:rsid w:val="14191607"/>
    <w:rsid w:val="15374511"/>
    <w:rsid w:val="16CD5BE6"/>
    <w:rsid w:val="17379E30"/>
    <w:rsid w:val="18134CAA"/>
    <w:rsid w:val="18CB43A7"/>
    <w:rsid w:val="18D23988"/>
    <w:rsid w:val="18E026C5"/>
    <w:rsid w:val="194A79C2"/>
    <w:rsid w:val="1AA66E7A"/>
    <w:rsid w:val="1D9F8437"/>
    <w:rsid w:val="1E6C4895"/>
    <w:rsid w:val="1F52137F"/>
    <w:rsid w:val="1F5626CC"/>
    <w:rsid w:val="1FEBFE1C"/>
    <w:rsid w:val="1FFF10A4"/>
    <w:rsid w:val="210B45EF"/>
    <w:rsid w:val="21F711AE"/>
    <w:rsid w:val="25184E18"/>
    <w:rsid w:val="25BF715A"/>
    <w:rsid w:val="264C168E"/>
    <w:rsid w:val="269E1524"/>
    <w:rsid w:val="26A821CC"/>
    <w:rsid w:val="26FDAE35"/>
    <w:rsid w:val="27D019DA"/>
    <w:rsid w:val="28836A4D"/>
    <w:rsid w:val="28B37BA6"/>
    <w:rsid w:val="28D97151"/>
    <w:rsid w:val="294C5091"/>
    <w:rsid w:val="2A622692"/>
    <w:rsid w:val="2B1240B8"/>
    <w:rsid w:val="2B373B1E"/>
    <w:rsid w:val="2B380415"/>
    <w:rsid w:val="2B3A3DF9"/>
    <w:rsid w:val="2B3C0196"/>
    <w:rsid w:val="2B5D3585"/>
    <w:rsid w:val="2C167BD8"/>
    <w:rsid w:val="2C4B5AD3"/>
    <w:rsid w:val="2C5442C0"/>
    <w:rsid w:val="2CCB09C2"/>
    <w:rsid w:val="2D931EE9"/>
    <w:rsid w:val="2DE44A32"/>
    <w:rsid w:val="2E0E51FE"/>
    <w:rsid w:val="2E9A4FB2"/>
    <w:rsid w:val="2F163586"/>
    <w:rsid w:val="2F47682A"/>
    <w:rsid w:val="2FD7429C"/>
    <w:rsid w:val="2FDB3BC4"/>
    <w:rsid w:val="2FEF67E5"/>
    <w:rsid w:val="2FFD5324"/>
    <w:rsid w:val="306233EC"/>
    <w:rsid w:val="30F229C1"/>
    <w:rsid w:val="32E75A7E"/>
    <w:rsid w:val="332130EA"/>
    <w:rsid w:val="337D35E2"/>
    <w:rsid w:val="33FF1020"/>
    <w:rsid w:val="35C154C5"/>
    <w:rsid w:val="36910587"/>
    <w:rsid w:val="369F255A"/>
    <w:rsid w:val="377FD1B7"/>
    <w:rsid w:val="3783183D"/>
    <w:rsid w:val="38815240"/>
    <w:rsid w:val="38CB445E"/>
    <w:rsid w:val="39650B36"/>
    <w:rsid w:val="39A93E39"/>
    <w:rsid w:val="39FF6DBB"/>
    <w:rsid w:val="3A8D72B7"/>
    <w:rsid w:val="3B3BCD19"/>
    <w:rsid w:val="3B936B4F"/>
    <w:rsid w:val="3BF70E8C"/>
    <w:rsid w:val="3C8446EA"/>
    <w:rsid w:val="3CFE6072"/>
    <w:rsid w:val="3D2D6B2F"/>
    <w:rsid w:val="3D7B7563"/>
    <w:rsid w:val="3DDB0367"/>
    <w:rsid w:val="3E4EA296"/>
    <w:rsid w:val="3E87B2EA"/>
    <w:rsid w:val="3E9B9761"/>
    <w:rsid w:val="3EDF64FA"/>
    <w:rsid w:val="3EFC8BBE"/>
    <w:rsid w:val="3EFEEF41"/>
    <w:rsid w:val="3F6820A1"/>
    <w:rsid w:val="3FB7A171"/>
    <w:rsid w:val="3FB8383E"/>
    <w:rsid w:val="3FCB0F86"/>
    <w:rsid w:val="4044666A"/>
    <w:rsid w:val="425A6618"/>
    <w:rsid w:val="43743506"/>
    <w:rsid w:val="451C4C94"/>
    <w:rsid w:val="452276B8"/>
    <w:rsid w:val="453C2005"/>
    <w:rsid w:val="46607F75"/>
    <w:rsid w:val="46D710F0"/>
    <w:rsid w:val="47331C9C"/>
    <w:rsid w:val="4755115C"/>
    <w:rsid w:val="475D75CD"/>
    <w:rsid w:val="47EF15B1"/>
    <w:rsid w:val="48596EE2"/>
    <w:rsid w:val="48E50420"/>
    <w:rsid w:val="4A161077"/>
    <w:rsid w:val="4E9609D8"/>
    <w:rsid w:val="4EC26B39"/>
    <w:rsid w:val="4F9F38BD"/>
    <w:rsid w:val="4FD0008F"/>
    <w:rsid w:val="4FFFF5BA"/>
    <w:rsid w:val="51455348"/>
    <w:rsid w:val="523E560F"/>
    <w:rsid w:val="52612285"/>
    <w:rsid w:val="52E74D8D"/>
    <w:rsid w:val="53ED5650"/>
    <w:rsid w:val="54676BD2"/>
    <w:rsid w:val="54FE1DD9"/>
    <w:rsid w:val="55EB160A"/>
    <w:rsid w:val="5647080A"/>
    <w:rsid w:val="56A865EF"/>
    <w:rsid w:val="56AF67E1"/>
    <w:rsid w:val="578810DA"/>
    <w:rsid w:val="57AA38B2"/>
    <w:rsid w:val="57C74255"/>
    <w:rsid w:val="57DDC0B5"/>
    <w:rsid w:val="57EB3913"/>
    <w:rsid w:val="582B2357"/>
    <w:rsid w:val="587F75D0"/>
    <w:rsid w:val="58D6513B"/>
    <w:rsid w:val="592530CB"/>
    <w:rsid w:val="5D731EE5"/>
    <w:rsid w:val="5D7C6B9E"/>
    <w:rsid w:val="5E6A3769"/>
    <w:rsid w:val="5F1FCA18"/>
    <w:rsid w:val="5F759ADA"/>
    <w:rsid w:val="5F7E20B0"/>
    <w:rsid w:val="5F8B3273"/>
    <w:rsid w:val="5FA785BD"/>
    <w:rsid w:val="5FFE3D37"/>
    <w:rsid w:val="5FFFAA4D"/>
    <w:rsid w:val="61A76E4D"/>
    <w:rsid w:val="61DA8D13"/>
    <w:rsid w:val="62992223"/>
    <w:rsid w:val="62C42318"/>
    <w:rsid w:val="6303005E"/>
    <w:rsid w:val="63C67883"/>
    <w:rsid w:val="64FA5311"/>
    <w:rsid w:val="65DD0843"/>
    <w:rsid w:val="65DEA117"/>
    <w:rsid w:val="65DF45BB"/>
    <w:rsid w:val="66D17DCF"/>
    <w:rsid w:val="67FECCF7"/>
    <w:rsid w:val="6A234003"/>
    <w:rsid w:val="6A385F69"/>
    <w:rsid w:val="6AAE1E4D"/>
    <w:rsid w:val="6B8249E2"/>
    <w:rsid w:val="6BD6038B"/>
    <w:rsid w:val="6BE50451"/>
    <w:rsid w:val="6BFB1A23"/>
    <w:rsid w:val="6BFB6A92"/>
    <w:rsid w:val="6C5C77CE"/>
    <w:rsid w:val="6E6711DA"/>
    <w:rsid w:val="6E77BA70"/>
    <w:rsid w:val="6E7F3088"/>
    <w:rsid w:val="6EE63825"/>
    <w:rsid w:val="6F2E7B74"/>
    <w:rsid w:val="6F5632B7"/>
    <w:rsid w:val="6FD63018"/>
    <w:rsid w:val="6FDE9459"/>
    <w:rsid w:val="6FEC4900"/>
    <w:rsid w:val="6FF71F6A"/>
    <w:rsid w:val="704146BC"/>
    <w:rsid w:val="706C1141"/>
    <w:rsid w:val="70AB1EB8"/>
    <w:rsid w:val="733D0B73"/>
    <w:rsid w:val="73DB43D3"/>
    <w:rsid w:val="748C3FC9"/>
    <w:rsid w:val="74EBB0C7"/>
    <w:rsid w:val="75F7C6A9"/>
    <w:rsid w:val="75FFAF76"/>
    <w:rsid w:val="75FFB109"/>
    <w:rsid w:val="76161AE2"/>
    <w:rsid w:val="76AA42D5"/>
    <w:rsid w:val="76F854DD"/>
    <w:rsid w:val="771A5453"/>
    <w:rsid w:val="77B096F6"/>
    <w:rsid w:val="77BF89D3"/>
    <w:rsid w:val="77E33BED"/>
    <w:rsid w:val="77F7E3FD"/>
    <w:rsid w:val="77FF12F9"/>
    <w:rsid w:val="78630A85"/>
    <w:rsid w:val="78815196"/>
    <w:rsid w:val="79030169"/>
    <w:rsid w:val="794609F9"/>
    <w:rsid w:val="79FD4426"/>
    <w:rsid w:val="7A6F71D9"/>
    <w:rsid w:val="7ADA537B"/>
    <w:rsid w:val="7B672C31"/>
    <w:rsid w:val="7B77390F"/>
    <w:rsid w:val="7BAB103F"/>
    <w:rsid w:val="7CB5F3E6"/>
    <w:rsid w:val="7CC52305"/>
    <w:rsid w:val="7D3F99DD"/>
    <w:rsid w:val="7D6F401F"/>
    <w:rsid w:val="7DCF672A"/>
    <w:rsid w:val="7E7F351C"/>
    <w:rsid w:val="7E8251DA"/>
    <w:rsid w:val="7E8B7E2B"/>
    <w:rsid w:val="7EDFB8C6"/>
    <w:rsid w:val="7EF76D2B"/>
    <w:rsid w:val="7F58120E"/>
    <w:rsid w:val="7FDD93E2"/>
    <w:rsid w:val="7FDF719F"/>
    <w:rsid w:val="7FF7EE40"/>
    <w:rsid w:val="9BBDAAA8"/>
    <w:rsid w:val="9FBCF7C2"/>
    <w:rsid w:val="9FF9A60A"/>
    <w:rsid w:val="9FFD536C"/>
    <w:rsid w:val="9FFDDCC5"/>
    <w:rsid w:val="AF357D54"/>
    <w:rsid w:val="B52C9B89"/>
    <w:rsid w:val="B73B9FE8"/>
    <w:rsid w:val="B765EB31"/>
    <w:rsid w:val="B77F16AB"/>
    <w:rsid w:val="BB3FB811"/>
    <w:rsid w:val="BCBFB380"/>
    <w:rsid w:val="BD5F1F49"/>
    <w:rsid w:val="BDFF3538"/>
    <w:rsid w:val="BEFF1F22"/>
    <w:rsid w:val="BFBBDD3D"/>
    <w:rsid w:val="CA5EC7B1"/>
    <w:rsid w:val="CDF199ED"/>
    <w:rsid w:val="D3E72BDF"/>
    <w:rsid w:val="D6E97E10"/>
    <w:rsid w:val="D6ED0BEC"/>
    <w:rsid w:val="DAFF35B5"/>
    <w:rsid w:val="DBFF738B"/>
    <w:rsid w:val="DEB516DA"/>
    <w:rsid w:val="E173E31A"/>
    <w:rsid w:val="E35F2C23"/>
    <w:rsid w:val="ED7E5594"/>
    <w:rsid w:val="EEDC1BFE"/>
    <w:rsid w:val="F3D7484B"/>
    <w:rsid w:val="F79A9523"/>
    <w:rsid w:val="F7F6F585"/>
    <w:rsid w:val="F98F62E3"/>
    <w:rsid w:val="FAEDE64E"/>
    <w:rsid w:val="FB3D4222"/>
    <w:rsid w:val="FB9FFCB6"/>
    <w:rsid w:val="FBF72963"/>
    <w:rsid w:val="FCBB26E4"/>
    <w:rsid w:val="FCF91062"/>
    <w:rsid w:val="FCFF5EA8"/>
    <w:rsid w:val="FD7EFC1C"/>
    <w:rsid w:val="FD7F6B97"/>
    <w:rsid w:val="FD9AD499"/>
    <w:rsid w:val="FDE74C82"/>
    <w:rsid w:val="FDFE66C2"/>
    <w:rsid w:val="FEDF536B"/>
    <w:rsid w:val="FF3FD3DC"/>
    <w:rsid w:val="FF73CF91"/>
    <w:rsid w:val="FF74C93E"/>
    <w:rsid w:val="FF9F7EDB"/>
    <w:rsid w:val="FFDDFB49"/>
    <w:rsid w:val="FFDE7527"/>
    <w:rsid w:val="FFE65621"/>
    <w:rsid w:val="FFED0D7C"/>
    <w:rsid w:val="FFED8537"/>
    <w:rsid w:val="FFFD81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23"/>
    <w:qFormat/>
    <w:uiPriority w:val="0"/>
    <w:pPr>
      <w:keepNext/>
      <w:keepLines/>
      <w:spacing w:beforeLines="0" w:beforeAutospacing="0" w:afterLines="0" w:afterAutospacing="0" w:line="560" w:lineRule="exact"/>
      <w:jc w:val="center"/>
      <w:outlineLvl w:val="0"/>
    </w:pPr>
    <w:rPr>
      <w:rFonts w:ascii="Arial" w:hAnsi="Arial" w:eastAsia="方正公文小标宋" w:cs="Arial"/>
      <w:snapToGrid w:val="0"/>
      <w:color w:val="000000"/>
      <w:kern w:val="44"/>
      <w:sz w:val="44"/>
      <w:szCs w:val="21"/>
      <w:lang w:eastAsia="en-US"/>
    </w:rPr>
  </w:style>
  <w:style w:type="paragraph" w:styleId="4">
    <w:name w:val="heading 2"/>
    <w:basedOn w:val="1"/>
    <w:next w:val="1"/>
    <w:link w:val="22"/>
    <w:semiHidden/>
    <w:unhideWhenUsed/>
    <w:qFormat/>
    <w:uiPriority w:val="0"/>
    <w:pPr>
      <w:keepNext/>
      <w:keepLines/>
      <w:spacing w:beforeLines="0" w:beforeAutospacing="0" w:afterLines="0" w:afterAutospacing="0" w:line="560" w:lineRule="exact"/>
      <w:outlineLvl w:val="1"/>
    </w:pPr>
    <w:rPr>
      <w:rFonts w:ascii="Arial" w:hAnsi="Arial" w:eastAsia="黑体" w:cs="Arial"/>
      <w:snapToGrid w:val="0"/>
      <w:color w:val="000000"/>
      <w:kern w:val="0"/>
      <w:sz w:val="32"/>
      <w:szCs w:val="21"/>
      <w:lang w:eastAsia="en-US"/>
    </w:rPr>
  </w:style>
  <w:style w:type="paragraph" w:styleId="5">
    <w:name w:val="heading 3"/>
    <w:basedOn w:val="1"/>
    <w:next w:val="1"/>
    <w:semiHidden/>
    <w:unhideWhenUsed/>
    <w:qFormat/>
    <w:uiPriority w:val="0"/>
    <w:pPr>
      <w:keepNext/>
      <w:keepLines/>
      <w:numPr>
        <w:ilvl w:val="2"/>
        <w:numId w:val="1"/>
      </w:numPr>
      <w:spacing w:beforeLines="0" w:beforeAutospacing="0" w:afterLines="0" w:afterAutospacing="0" w:line="560" w:lineRule="exact"/>
      <w:ind w:left="0" w:firstLine="880" w:firstLineChars="200"/>
      <w:jc w:val="left"/>
      <w:outlineLvl w:val="2"/>
    </w:pPr>
    <w:rPr>
      <w:rFonts w:eastAsia="楷体_GB2312" w:asciiTheme="minorAscii" w:hAnsiTheme="minorAscii"/>
      <w:sz w:val="32"/>
    </w:rPr>
  </w:style>
  <w:style w:type="paragraph" w:styleId="6">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6158"/>
      <w:outlineLvl w:val="3"/>
    </w:pPr>
    <w:rPr>
      <w:rFonts w:ascii="Arial" w:hAnsi="Arial" w:eastAsia="黑体"/>
      <w:b/>
      <w:sz w:val="28"/>
    </w:rPr>
  </w:style>
  <w:style w:type="paragraph" w:styleId="7">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6160"/>
      <w:outlineLvl w:val="4"/>
    </w:pPr>
    <w:rPr>
      <w:b/>
      <w:sz w:val="28"/>
    </w:rPr>
  </w:style>
  <w:style w:type="paragraph" w:styleId="8">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6160"/>
      <w:outlineLvl w:val="5"/>
    </w:pPr>
    <w:rPr>
      <w:rFonts w:ascii="Arial" w:hAnsi="Arial" w:eastAsia="黑体"/>
      <w:b/>
      <w:sz w:val="24"/>
    </w:rPr>
  </w:style>
  <w:style w:type="character" w:default="1" w:styleId="20">
    <w:name w:val="Default Paragraph Font"/>
    <w:semiHidden/>
    <w:unhideWhenUsed/>
    <w:qFormat/>
    <w:uiPriority w:val="1"/>
  </w:style>
  <w:style w:type="table" w:default="1" w:styleId="18">
    <w:name w:val="Normal Table"/>
    <w:autoRedefine/>
    <w:semiHidden/>
    <w:qFormat/>
    <w:uiPriority w:val="0"/>
    <w:tblPr>
      <w:tblCellMar>
        <w:top w:w="0" w:type="dxa"/>
        <w:left w:w="108" w:type="dxa"/>
        <w:bottom w:w="0" w:type="dxa"/>
        <w:right w:w="108" w:type="dxa"/>
      </w:tblCellMar>
    </w:tblPr>
  </w:style>
  <w:style w:type="paragraph" w:styleId="2">
    <w:name w:val="Body Text 2"/>
    <w:basedOn w:val="1"/>
    <w:qFormat/>
    <w:uiPriority w:val="0"/>
    <w:pPr>
      <w:spacing w:line="480" w:lineRule="auto"/>
    </w:pPr>
  </w:style>
  <w:style w:type="paragraph" w:styleId="9">
    <w:name w:val="Normal Indent"/>
    <w:basedOn w:val="1"/>
    <w:next w:val="1"/>
    <w:qFormat/>
    <w:uiPriority w:val="0"/>
    <w:pPr>
      <w:ind w:firstLine="567"/>
    </w:pPr>
  </w:style>
  <w:style w:type="paragraph" w:styleId="10">
    <w:name w:val="annotation text"/>
    <w:basedOn w:val="1"/>
    <w:qFormat/>
    <w:uiPriority w:val="0"/>
    <w:pPr>
      <w:jc w:val="left"/>
    </w:pPr>
  </w:style>
  <w:style w:type="paragraph" w:styleId="11">
    <w:name w:val="Body Text"/>
    <w:basedOn w:val="1"/>
    <w:next w:val="12"/>
    <w:qFormat/>
    <w:uiPriority w:val="0"/>
    <w:pPr>
      <w:spacing w:afterAutospacing="0" w:line="580" w:lineRule="exact"/>
      <w:ind w:firstLine="880" w:firstLineChars="200"/>
    </w:pPr>
    <w:rPr>
      <w:rFonts w:ascii="Times New Roman" w:hAnsi="Times New Roman" w:eastAsia="仿宋_GB2312"/>
      <w:sz w:val="32"/>
      <w:szCs w:val="24"/>
    </w:rPr>
  </w:style>
  <w:style w:type="paragraph" w:customStyle="1" w:styleId="12">
    <w:name w:val="目录 11"/>
    <w:next w:val="1"/>
    <w:qFormat/>
    <w:uiPriority w:val="0"/>
    <w:pPr>
      <w:wordWrap w:val="0"/>
      <w:jc w:val="both"/>
    </w:pPr>
    <w:rPr>
      <w:rFonts w:ascii="Calibri" w:hAnsi="Calibri" w:eastAsia="宋体" w:cs="Times New Roman"/>
      <w:sz w:val="21"/>
      <w:szCs w:val="22"/>
      <w:lang w:val="en-US" w:eastAsia="zh-CN" w:bidi="ar-SA"/>
    </w:rPr>
  </w:style>
  <w:style w:type="paragraph" w:styleId="13">
    <w:name w:val="Plain Text"/>
    <w:basedOn w:val="1"/>
    <w:qFormat/>
    <w:uiPriority w:val="0"/>
    <w:rPr>
      <w:rFonts w:ascii="宋体" w:hAnsi="Courier New" w:eastAsia="宋体" w:cs="Times New Roman"/>
      <w:szCs w:val="20"/>
    </w:rPr>
  </w:style>
  <w:style w:type="paragraph" w:styleId="14">
    <w:name w:val="footer"/>
    <w:basedOn w:val="1"/>
    <w:qFormat/>
    <w:uiPriority w:val="0"/>
    <w:pPr>
      <w:tabs>
        <w:tab w:val="center" w:pos="4153"/>
        <w:tab w:val="right" w:pos="8306"/>
      </w:tabs>
      <w:snapToGrid w:val="0"/>
      <w:jc w:val="left"/>
    </w:pPr>
    <w:rPr>
      <w:sz w:val="18"/>
    </w:rPr>
  </w:style>
  <w:style w:type="paragraph" w:styleId="1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6">
    <w:name w:val="toc 1"/>
    <w:basedOn w:val="1"/>
    <w:next w:val="1"/>
    <w:autoRedefine/>
    <w:qFormat/>
    <w:uiPriority w:val="0"/>
  </w:style>
  <w:style w:type="paragraph" w:styleId="17">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customStyle="1" w:styleId="22">
    <w:name w:val="标题 2 Char"/>
    <w:link w:val="4"/>
    <w:autoRedefine/>
    <w:qFormat/>
    <w:uiPriority w:val="0"/>
    <w:rPr>
      <w:rFonts w:ascii="Arial" w:hAnsi="Arial" w:eastAsia="黑体" w:cs="Arial"/>
      <w:snapToGrid w:val="0"/>
      <w:color w:val="000000"/>
      <w:kern w:val="0"/>
      <w:sz w:val="32"/>
      <w:szCs w:val="21"/>
      <w:lang w:eastAsia="en-US"/>
    </w:rPr>
  </w:style>
  <w:style w:type="character" w:customStyle="1" w:styleId="23">
    <w:name w:val="标题 1 Char"/>
    <w:basedOn w:val="20"/>
    <w:link w:val="3"/>
    <w:autoRedefine/>
    <w:qFormat/>
    <w:uiPriority w:val="0"/>
    <w:rPr>
      <w:rFonts w:ascii="Arial" w:hAnsi="Arial" w:eastAsia="方正公文小标宋" w:cs="Arial"/>
      <w:snapToGrid w:val="0"/>
      <w:color w:val="000000"/>
      <w:kern w:val="44"/>
      <w:sz w:val="44"/>
      <w:szCs w:val="21"/>
      <w:lang w:eastAsia="en-US"/>
    </w:rPr>
  </w:style>
  <w:style w:type="paragraph" w:customStyle="1" w:styleId="24">
    <w:name w:val="Body Text First Indent1"/>
    <w:basedOn w:val="25"/>
    <w:qFormat/>
    <w:uiPriority w:val="0"/>
    <w:pPr>
      <w:ind w:firstLine="100" w:firstLineChars="100"/>
    </w:pPr>
  </w:style>
  <w:style w:type="paragraph" w:customStyle="1" w:styleId="25">
    <w:name w:val="Body Text1"/>
    <w:basedOn w:val="1"/>
    <w:autoRedefine/>
    <w:qFormat/>
    <w:uiPriority w:val="0"/>
    <w:rPr>
      <w:b/>
      <w:sz w:val="44"/>
    </w:rPr>
  </w:style>
  <w:style w:type="character" w:customStyle="1" w:styleId="26">
    <w:name w:val="font31"/>
    <w:basedOn w:val="20"/>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f3b74431-ad48-427d-ade1-1442c47d0081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40979B24</paraID>
      <start>25</start>
      <end>26</end>
      <status>modified</status>
      <modifiedWord>—</modifiedWord>
      <trackRevisions>false</trackRevisions>
    </reviewItem>
    <reviewItem>
      <errorID>9a3c2c43-ac87-4e12-8aea-8d49c8b281ff</errorID>
      <errorWord>:</errorWord>
      <group>L1_Format</group>
      <groupName>格式问题</groupName>
      <ability>L2_HalfPunc</ability>
      <abilityName>全半角检查</abilityName>
      <candidateList>
        <item>：</item>
      </candidateList>
      <explain>文本全半角错误。</explain>
      <paraID> D08A17F</paraID>
      <start>4</start>
      <end>5</end>
      <status>modified</status>
      <modifiedWord>：</modifiedWord>
      <trackRevisions>false</trackRevisions>
    </reviewItem>
    <reviewItem>
      <errorID>d532c1e8-23d7-4d9a-acc2-8578d4fd7a3b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69CBC68A</paraID>
      <start>86</start>
      <end>87</end>
      <status>modified</status>
      <modifiedWord>—</modifiedWord>
      <trackRevisions>false</trackRevisions>
    </reviewItem>
    <reviewItem>
      <errorID>0080b0fd-19d2-47cf-9af1-a06b4115bf3d</errorID>
      <errorWord>:</errorWord>
      <group>L1_Format</group>
      <groupName>格式问题</groupName>
      <ability>L2_HalfPunc</ability>
      <abilityName>全半角检查</abilityName>
      <candidateList>
        <item>：</item>
      </candidateList>
      <explain>文本全半角错误。</explain>
      <paraID>7BB64EAA</paraID>
      <start>2</start>
      <end>3</end>
      <status>modified</status>
      <modifiedWord>：</modifiedWord>
      <trackRevisions>false</trackRevisions>
    </reviewItem>
    <reviewItem>
      <errorID>81637ed6-9db3-48d6-8e83-87e40d56365c</errorID>
      <errorWord>:</errorWord>
      <group>L1_Format</group>
      <groupName>格式问题</groupName>
      <ability>L2_HalfPunc</ability>
      <abilityName>全半角检查</abilityName>
      <candidateList>
        <item>：</item>
      </candidateList>
      <explain>文本全半角错误。</explain>
      <paraID>2F815ADC</paraID>
      <start>2</start>
      <end>3</end>
      <status>modified</status>
      <modifiedWord>：</modifiedWord>
      <trackRevisions>false</trackRevisions>
    </reviewItem>
    <reviewItem>
      <errorID>80797e17-036f-43fa-9743-3ea6b767665e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2F815ADC</paraID>
      <start>13</start>
      <end>14</end>
      <status>modified</status>
      <modifiedWord>—</modifiedWord>
      <trackRevisions>false</trackRevisions>
    </reviewItem>
    <reviewItem>
      <errorID>dbd2ba22-8cea-4064-b982-c9fa43a64e2a</errorID>
      <errorWord>农牧业适度规模经营</errorWord>
      <group>L1_Political</group>
      <groupName>政治性问题</groupName>
      <ability>L2_Keyword</ability>
      <abilityName>固定表述</abilityName>
      <candidateList>
        <item>农业适度规模经营</item>
      </candidateList>
      <explain>词汇“农业适度规模经营”在特定场景下为固定表述形式，请确认此处的“农牧业适度规模经营”是否存在不当。</explain>
      <paraID>11758D15</paraID>
      <start>31</start>
      <end>40</end>
      <status>unmodified</status>
      <modifiedWord/>
      <trackRevisions>false</trackRevisions>
    </reviewItem>
    <reviewItem>
      <errorID>7cde1546-74de-407d-8bca-fde3360b7b46</errorID>
      <errorWord>农牧业适度规模经营</errorWord>
      <group>L1_Political</group>
      <groupName>政治性问题</groupName>
      <ability>L2_Keyword</ability>
      <abilityName>固定表述</abilityName>
      <candidateList>
        <item>农业适度规模经营</item>
      </candidateList>
      <explain>词汇“农业适度规模经营”在特定场景下为固定表述形式，请确认此处的“农牧业适度规模经营”是否存在不当。</explain>
      <paraID>11758D15</paraID>
      <start>75</start>
      <end>84</end>
      <status>unmodified</status>
      <modifiedWord/>
      <trackRevisions>false</trackRevisions>
    </reviewItem>
    <reviewItem>
      <errorID>325e1318-157f-4e36-b75c-67f638811be3</errorID>
      <errorWord>农牧业适度规模经营</errorWord>
      <group>L1_Political</group>
      <groupName>政治性问题</groupName>
      <ability>L2_Keyword</ability>
      <abilityName>固定表述</abilityName>
      <candidateList>
        <item>农业适度规模经营</item>
      </candidateList>
      <explain>词汇“农业适度规模经营”在特定场景下为固定表述形式，请确认此处的“农牧业适度规模经营”是否存在不当。</explain>
      <paraID>2EBFD7E2</paraID>
      <start>43</start>
      <end>52</end>
      <status>unmodified</status>
      <modifiedWord/>
      <trackRevisions>false</trackRevisions>
    </reviewItem>
    <reviewItem>
      <errorID>ea06ea0a-8630-4f6c-b1d6-a0e6237864af</errorID>
      <errorWord>种养殖</errorWord>
      <group>L1_Word</group>
      <groupName>字词问题</groupName>
      <ability>L2_Typo</ability>
      <abilityName>字词错误</abilityName>
      <candidateList>
        <item>种植养殖</item>
      </candidateList>
      <explain/>
      <paraID>195E36AB</paraID>
      <start>35</start>
      <end>38</end>
      <status>unmodified</status>
      <modifiedWord/>
      <trackRevisions>false</trackRevisions>
    </reviewItem>
    <reviewItem>
      <errorID>bc9faec6-03e2-43f9-ba08-4c353a18dcb1</errorID>
      <errorWord>农牧业适度规模经营</errorWord>
      <group>L1_Political</group>
      <groupName>政治性问题</groupName>
      <ability>L2_Keyword</ability>
      <abilityName>固定表述</abilityName>
      <candidateList>
        <item>农业适度规模经营</item>
      </candidateList>
      <explain>词汇“农业适度规模经营”在特定场景下为固定表述形式，请确认此处的“农牧业适度规模经营”是否存在不当。</explain>
      <paraID>20FD7173</paraID>
      <start>49</start>
      <end>58</end>
      <status>unmodified</status>
      <modifiedWord/>
      <trackRevisions>false</trackRevisions>
    </reviewItem>
    <reviewItem>
      <errorID>99ff500d-ae38-4e59-ac9c-800b5da3b6a4</errorID>
      <errorWord>，</errorWord>
      <group>L1_Word</group>
      <groupName>字词问题</groupName>
      <ability>L2_Typo</ability>
      <abilityName>字词错误</abilityName>
      <candidateList>
        <item>，将</item>
      </candidateList>
      <explain/>
      <paraID>309C807B</paraID>
      <start>98</start>
      <end>99</end>
      <status>unmodified</status>
      <modifiedWord/>
      <trackRevisions>false</trackRevisions>
    </reviewItem>
    <reviewItem>
      <errorID>9939b083-c167-4338-898a-3aabef17aad9</errorID>
      <errorWord>现代农牧业产业园</errorWord>
      <group>L1_Political</group>
      <groupName>政治性问题</groupName>
      <ability>L2_Keyword</ability>
      <abilityName>固定表述</abilityName>
      <candidateList>
        <item>现代农业产业园</item>
      </candidateList>
      <explain>词汇“现代农业产业园”在特定场景下为固定表述形式，请确认此处的“现代农牧业产业园”是否存在不当。</explain>
      <paraID> F096997</paraID>
      <start>13</start>
      <end>21</end>
      <status>unmodified</status>
      <modifiedWord/>
      <trackRevisions>false</trackRevisions>
    </reviewItem>
    <reviewItem>
      <errorID>6c6edeb8-8dd9-4067-a9f9-ba95e2386b3d</errorID>
      <errorWord>现代农牧业产业园</errorWord>
      <group>L1_Political</group>
      <groupName>政治性问题</groupName>
      <ability>L2_Keyword</ability>
      <abilityName>固定表述</abilityName>
      <candidateList>
        <item>现代农业产业园</item>
      </candidateList>
      <explain>词汇“现代农业产业园”在特定场景下为固定表述形式，请确认此处的“现代农牧业产业园”是否存在不当。</explain>
      <paraID>1B779E9A</paraID>
      <start>8</start>
      <end>16</end>
      <status>unmodified</status>
      <modifiedWord/>
      <trackRevisions>false</trackRevisions>
    </reviewItem>
    <reviewItem>
      <errorID>13304121-a6dd-491d-8ea2-6720e3cdf21b</errorID>
      <errorWord>，</errorWord>
      <group>L1_Word</group>
      <groupName>字词问题</groupName>
      <ability>L2_Typo</ability>
      <abilityName>字词错误</abilityName>
      <candidateList>
        <item>，以</item>
      </candidateList>
      <explain/>
      <paraID>72ED88A1</paraID>
      <start>110</start>
      <end>111</end>
      <status>unmodified</status>
      <modifiedWord/>
      <trackRevisions>false</trackRevisions>
    </reviewItem>
    <reviewItem>
      <errorID>3e8d6bb5-b52d-4fa7-9424-2b9432e1e097</errorID>
      <errorWord>高水</errorWord>
      <group>L1_Word</group>
      <groupName>字词问题</groupName>
      <ability>L2_Typo</ability>
      <abilityName>字词错误</abilityName>
      <candidateList>
        <item>高</item>
      </candidateList>
      <explain>❶〈形〉从下向上距离大；离地面远（跟“低”相对，▲▲同）：～楼大厦｜这里地势很～。❷〈名〉高度：那棵树有五米～｜书桌～八十厘米。❸〈名〉三角形、平行四边形等从底部到顶部（顶点或平行线）的垂直距离。❹〈形〉在一般标准或平均程度之上的：～速度｜体温～｜见解比别人～。❺〈形〉等级在上的：～等｜～年级｜哥哥比我～一班。❻敬辞，称别人的事物：～见｜～论。❼酸根或化合物中比标准酸根多含一个氧原子的：～锰酸钾。❽（Gāo）〈名〉姓。</explain>
      <paraID>301003D3</paraID>
      <start>68</start>
      <end>70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0fe063e-05c3-417c-b14d-511f699c69a5}">
  <ds:schemaRefs/>
</ds:datastoreItem>
</file>

<file path=docProps/app.xml><?xml version="1.0" encoding="utf-8"?>
<Properties xmlns="http://schemas.openxmlformats.org/officeDocument/2006/extended-properties" xmlns:vt="http://schemas.openxmlformats.org/officeDocument/2006/docPropsVTypes">
  <Template>Normal.dotm</Template>
  <Pages>34</Pages>
  <Words>16192</Words>
  <Characters>17017</Characters>
  <Lines>0</Lines>
  <Paragraphs>0</Paragraphs>
  <TotalTime>39</TotalTime>
  <ScaleCrop>false</ScaleCrop>
  <LinksUpToDate>false</LinksUpToDate>
  <CharactersWithSpaces>17040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2022-05-24T05:57:00Z</dcterms:created>
  <dc:creator>常仲林</dc:creator>
  <cp:lastModifiedBy>WPS_1521653743</cp:lastModifiedBy>
  <cp:lastPrinted>2025-11-26T08:03:00Z</cp:lastPrinted>
  <dcterms:modified xsi:type="dcterms:W3CDTF">2025-12-02T07:59:10Z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E2091486C9914FD4B72DE16FBCEA3503_13</vt:lpwstr>
  </property>
  <property fmtid="{D5CDD505-2E9C-101B-9397-08002B2CF9AE}" pid="4" name="KSOTemplateDocerSaveRecord">
    <vt:lpwstr>eyJoZGlkIjoiMWNlMWIxZDk0ODc2MWZjZGVmMzIyMGMwYzdiZjliZmQiLCJ1c2VySWQiOiIzNTQ4NzY2MjkifQ==</vt:lpwstr>
  </property>
</Properties>
</file>