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6B54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eastAsia" w:ascii="Times New Roman" w:hAnsi="Times New Roman" w:eastAsia="方正小标宋简体" w:cs="Times New Roman"/>
          <w:color w:val="000000"/>
          <w:sz w:val="44"/>
          <w:szCs w:val="44"/>
          <w:highlight w:val="none"/>
          <w:lang w:val="en-US" w:eastAsia="zh-CN"/>
        </w:rPr>
      </w:pPr>
      <w:bookmarkStart w:id="0" w:name="_GoBack"/>
      <w:bookmarkEnd w:id="0"/>
      <w:r>
        <w:rPr>
          <w:rFonts w:hint="default" w:ascii="Times New Roman" w:hAnsi="Times New Roman" w:eastAsia="方正小标宋简体" w:cs="Times New Roman"/>
          <w:color w:val="000000"/>
          <w:sz w:val="44"/>
          <w:szCs w:val="44"/>
          <w:highlight w:val="none"/>
          <w:lang w:val="en-US" w:eastAsia="zh-CN"/>
        </w:rPr>
        <w:t>鄂托克前旗上海庙</w:t>
      </w:r>
      <w:r>
        <w:rPr>
          <w:rFonts w:hint="default" w:ascii="Times New Roman" w:hAnsi="Times New Roman" w:eastAsia="方正小标宋简体" w:cs="Times New Roman"/>
          <w:color w:val="000000"/>
          <w:sz w:val="44"/>
          <w:szCs w:val="44"/>
          <w:highlight w:val="none"/>
        </w:rPr>
        <w:t>矿区</w:t>
      </w:r>
      <w:r>
        <w:rPr>
          <w:rFonts w:hint="eastAsia" w:ascii="Times New Roman" w:hAnsi="Times New Roman" w:eastAsia="方正小标宋简体" w:cs="Times New Roman"/>
          <w:color w:val="000000"/>
          <w:sz w:val="44"/>
          <w:szCs w:val="44"/>
          <w:highlight w:val="none"/>
          <w:lang w:val="en-US" w:eastAsia="zh-CN"/>
        </w:rPr>
        <w:t>塌陷区搬迁</w:t>
      </w:r>
    </w:p>
    <w:p w14:paraId="6E59CE1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eastAsia="方正小标宋简体" w:cs="Times New Roman"/>
          <w:color w:val="000000"/>
          <w:sz w:val="44"/>
          <w:szCs w:val="44"/>
          <w:highlight w:val="none"/>
        </w:rPr>
      </w:pPr>
      <w:r>
        <w:rPr>
          <w:rFonts w:hint="eastAsia" w:ascii="Times New Roman" w:hAnsi="Times New Roman" w:eastAsia="方正小标宋简体" w:cs="Times New Roman"/>
          <w:color w:val="000000"/>
          <w:sz w:val="44"/>
          <w:szCs w:val="44"/>
          <w:highlight w:val="none"/>
          <w:lang w:val="en-US" w:eastAsia="zh-CN"/>
        </w:rPr>
        <w:t>补偿</w:t>
      </w:r>
      <w:r>
        <w:rPr>
          <w:rFonts w:hint="default" w:ascii="Times New Roman" w:hAnsi="Times New Roman" w:eastAsia="方正小标宋简体" w:cs="Times New Roman"/>
          <w:color w:val="000000"/>
          <w:sz w:val="44"/>
          <w:szCs w:val="44"/>
          <w:highlight w:val="none"/>
        </w:rPr>
        <w:t>安置办法</w:t>
      </w:r>
    </w:p>
    <w:p w14:paraId="23ED834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eastAsia="方正小标宋简体" w:cs="Times New Roman"/>
          <w:color w:val="000000"/>
          <w:sz w:val="44"/>
          <w:szCs w:val="44"/>
          <w:highlight w:val="none"/>
        </w:rPr>
      </w:pPr>
      <w:r>
        <w:rPr>
          <w:rFonts w:hint="default" w:ascii="Times New Roman" w:hAnsi="Times New Roman" w:eastAsia="方正小标宋简体" w:cs="Times New Roman"/>
          <w:color w:val="000000"/>
          <w:sz w:val="44"/>
          <w:szCs w:val="44"/>
          <w:highlight w:val="none"/>
        </w:rPr>
        <w:t>(</w:t>
      </w:r>
      <w:r>
        <w:rPr>
          <w:rFonts w:hint="default" w:ascii="Times New Roman" w:hAnsi="Times New Roman" w:eastAsia="方正小标宋简体" w:cs="Times New Roman"/>
          <w:color w:val="000000"/>
          <w:sz w:val="44"/>
          <w:szCs w:val="44"/>
          <w:highlight w:val="none"/>
          <w:lang w:val="en-US" w:eastAsia="zh-CN"/>
        </w:rPr>
        <w:t>征求意见稿</w:t>
      </w:r>
      <w:r>
        <w:rPr>
          <w:rFonts w:hint="default" w:ascii="Times New Roman" w:hAnsi="Times New Roman" w:eastAsia="方正小标宋简体" w:cs="Times New Roman"/>
          <w:color w:val="000000"/>
          <w:sz w:val="44"/>
          <w:szCs w:val="44"/>
          <w:highlight w:val="none"/>
        </w:rPr>
        <w:t>)</w:t>
      </w:r>
    </w:p>
    <w:p w14:paraId="3277A9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center"/>
        <w:textAlignment w:val="baseline"/>
        <w:rPr>
          <w:rFonts w:hint="default" w:ascii="Times New Roman" w:hAnsi="Times New Roman" w:eastAsia="黑体" w:cs="Times New Roman"/>
          <w:color w:val="000000"/>
          <w:sz w:val="32"/>
          <w:szCs w:val="32"/>
          <w:highlight w:val="none"/>
        </w:rPr>
      </w:pPr>
    </w:p>
    <w:p w14:paraId="4901D8D7">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 xml:space="preserve"> </w:t>
      </w:r>
      <w:r>
        <w:rPr>
          <w:rFonts w:hint="default" w:ascii="Times New Roman" w:hAnsi="Times New Roman" w:eastAsia="黑体" w:cs="Times New Roman"/>
          <w:color w:val="000000"/>
          <w:sz w:val="32"/>
          <w:szCs w:val="32"/>
          <w:highlight w:val="none"/>
        </w:rPr>
        <w:t>总则</w:t>
      </w:r>
    </w:p>
    <w:p w14:paraId="3C0C53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b w:val="0"/>
          <w:bCs w:val="0"/>
          <w:color w:val="000000"/>
          <w:sz w:val="32"/>
          <w:szCs w:val="32"/>
          <w:highlight w:val="none"/>
        </w:rPr>
        <w:t>第一条</w:t>
      </w:r>
      <w:r>
        <w:rPr>
          <w:rFonts w:hint="default" w:ascii="Times New Roman" w:hAnsi="Times New Roman" w:eastAsia="仿宋_GB2312" w:cs="Times New Roman"/>
          <w:color w:val="000000"/>
          <w:sz w:val="32"/>
          <w:szCs w:val="32"/>
          <w:highlight w:val="none"/>
        </w:rPr>
        <w:t xml:space="preserve"> 为</w:t>
      </w:r>
      <w:r>
        <w:rPr>
          <w:rFonts w:hint="default" w:ascii="Times New Roman" w:hAnsi="Times New Roman" w:eastAsia="仿宋_GB2312" w:cs="Times New Roman"/>
          <w:color w:val="000000"/>
          <w:sz w:val="32"/>
          <w:szCs w:val="32"/>
          <w:highlight w:val="none"/>
          <w:lang w:val="en-US" w:eastAsia="zh-CN"/>
        </w:rPr>
        <w:t>进一步规范矿区搬迁补偿安置工作，</w:t>
      </w:r>
      <w:r>
        <w:rPr>
          <w:rFonts w:hint="default" w:ascii="Times New Roman" w:hAnsi="Times New Roman" w:eastAsia="仿宋_GB2312" w:cs="Times New Roman"/>
          <w:color w:val="000000"/>
          <w:sz w:val="32"/>
          <w:szCs w:val="32"/>
          <w:highlight w:val="none"/>
        </w:rPr>
        <w:t>切实维护矿区</w:t>
      </w:r>
      <w:r>
        <w:rPr>
          <w:rFonts w:hint="default" w:ascii="Times New Roman" w:hAnsi="Times New Roman" w:eastAsia="仿宋_GB2312" w:cs="Times New Roman"/>
          <w:color w:val="000000"/>
          <w:sz w:val="32"/>
          <w:szCs w:val="32"/>
          <w:highlight w:val="none"/>
          <w:lang w:val="en-US" w:eastAsia="zh-CN"/>
        </w:rPr>
        <w:t>群众生命财产安全和</w:t>
      </w:r>
      <w:r>
        <w:rPr>
          <w:rFonts w:hint="default" w:ascii="Times New Roman" w:hAnsi="Times New Roman" w:eastAsia="仿宋_GB2312" w:cs="Times New Roman"/>
          <w:color w:val="000000"/>
          <w:sz w:val="32"/>
          <w:szCs w:val="32"/>
          <w:highlight w:val="none"/>
        </w:rPr>
        <w:t>合法权益，保障煤炭企业正常生产经营秩序，</w:t>
      </w:r>
      <w:r>
        <w:rPr>
          <w:rFonts w:hint="default" w:ascii="Times New Roman" w:hAnsi="Times New Roman" w:eastAsia="仿宋_GB2312" w:cs="Times New Roman"/>
          <w:color w:val="000000"/>
          <w:sz w:val="32"/>
          <w:szCs w:val="32"/>
          <w:highlight w:val="none"/>
          <w:lang w:val="en-US" w:eastAsia="zh-CN"/>
        </w:rPr>
        <w:t>确保搬迁安置补偿工作公平、合理、有序开展，</w:t>
      </w:r>
      <w:r>
        <w:rPr>
          <w:rFonts w:hint="default" w:ascii="Times New Roman" w:hAnsi="Times New Roman" w:eastAsia="仿宋_GB2312" w:cs="Times New Roman"/>
          <w:color w:val="000000"/>
          <w:sz w:val="32"/>
          <w:szCs w:val="32"/>
          <w:highlight w:val="none"/>
        </w:rPr>
        <w:t>根据《中华人民共和国土地管理法》《中华人民共和国农村土地承包法》《中华人民共和国城乡规划法》《中华人民共和国矿产资源法》《中华人民共和国行政强制法》</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中华人民共和国土地管理法实施条例</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《地质灾害防治条例》《内蒙古自治区建设国家重要能源和战略资源基地促进条例》《鄂尔多斯市绿色矿山建设管理条例》等法律、法规和政策规定，</w:t>
      </w:r>
      <w:r>
        <w:rPr>
          <w:rFonts w:ascii="仿宋_GB2312" w:hAnsi="仿宋_GB2312" w:eastAsia="仿宋_GB2312" w:cs="仿宋_GB2312"/>
          <w:color w:val="000000"/>
          <w:sz w:val="32"/>
          <w:szCs w:val="32"/>
          <w:highlight w:val="none"/>
          <w:lang w:val="en-US"/>
        </w:rPr>
        <w:t>参照《内蒙古自治区人民政府办公厅关于公布自治区新一轮征地区片综合地价调整更新成果的通知》（内政办发〔2023〕92号）、《鄂尔多斯市人民政府关于公布征地区片综合地价征收农用地以外的其他土地、青苗和地上附着物等补偿标准及土地补偿费和安置补助费分配比例的通知》（鄂府发〔2024〕32号）</w:t>
      </w:r>
      <w:r>
        <w:rPr>
          <w:rFonts w:hint="default" w:ascii="Times New Roman" w:hAnsi="Times New Roman" w:eastAsia="仿宋_GB2312" w:cs="Times New Roman"/>
          <w:color w:val="000000"/>
          <w:sz w:val="32"/>
          <w:szCs w:val="32"/>
          <w:highlight w:val="none"/>
        </w:rPr>
        <w:t>结合</w:t>
      </w:r>
      <w:r>
        <w:rPr>
          <w:rFonts w:hint="default" w:ascii="Times New Roman" w:hAnsi="Times New Roman" w:eastAsia="仿宋_GB2312" w:cs="Times New Roman"/>
          <w:color w:val="000000"/>
          <w:sz w:val="32"/>
          <w:szCs w:val="32"/>
          <w:highlight w:val="none"/>
          <w:lang w:val="en-US" w:eastAsia="zh-CN"/>
        </w:rPr>
        <w:t>我旗</w:t>
      </w:r>
      <w:r>
        <w:rPr>
          <w:rFonts w:hint="default" w:ascii="Times New Roman" w:hAnsi="Times New Roman" w:eastAsia="仿宋_GB2312" w:cs="Times New Roman"/>
          <w:color w:val="000000"/>
          <w:sz w:val="32"/>
          <w:szCs w:val="32"/>
          <w:highlight w:val="none"/>
        </w:rPr>
        <w:t>矿区实际，制定本办法。</w:t>
      </w:r>
    </w:p>
    <w:p w14:paraId="009600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b w:val="0"/>
          <w:bCs w:val="0"/>
          <w:color w:val="000000"/>
          <w:sz w:val="32"/>
          <w:szCs w:val="32"/>
          <w:highlight w:val="none"/>
        </w:rPr>
        <w:t>第二条</w:t>
      </w:r>
      <w:r>
        <w:rPr>
          <w:rFonts w:hint="default" w:ascii="Times New Roman" w:hAnsi="Times New Roman" w:eastAsia="仿宋_GB2312" w:cs="Times New Roman"/>
          <w:color w:val="000000"/>
          <w:sz w:val="32"/>
          <w:szCs w:val="32"/>
          <w:highlight w:val="none"/>
        </w:rPr>
        <w:t xml:space="preserve"> </w:t>
      </w:r>
      <w:r>
        <w:rPr>
          <w:rFonts w:hint="eastAsia" w:ascii="Times New Roman" w:hAnsi="Times New Roman" w:eastAsia="仿宋_GB2312" w:cs="Times New Roman"/>
          <w:color w:val="000000"/>
          <w:sz w:val="32"/>
          <w:szCs w:val="32"/>
          <w:highlight w:val="none"/>
          <w:lang w:val="en-US" w:eastAsia="zh-CN"/>
        </w:rPr>
        <w:t>本办法所称矿区塌陷区是指按上海庙矿区总体规划划定的矿界采区范围内以及因煤炭开采引起的地面不同程度沉陷的区域，地下水受影响区域。主要表现为地表开裂、土地下沉、房屋裂缝、地下水位下降、耕地减产、环境污染等与地质作用有关的灾害。</w:t>
      </w:r>
    </w:p>
    <w:p w14:paraId="06030B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第三条</w:t>
      </w:r>
      <w:r>
        <w:rPr>
          <w:rFonts w:hint="default" w:ascii="Times New Roman" w:hAnsi="Times New Roman" w:eastAsia="仿宋_GB2312" w:cs="Times New Roman"/>
          <w:color w:val="000000"/>
          <w:sz w:val="32"/>
          <w:szCs w:val="32"/>
          <w:highlight w:val="none"/>
        </w:rPr>
        <w:t xml:space="preserve"> 坚持</w:t>
      </w:r>
      <w:r>
        <w:rPr>
          <w:rFonts w:hint="default" w:ascii="Times New Roman" w:hAnsi="Times New Roman" w:eastAsia="仿宋_GB2312" w:cs="Times New Roman"/>
          <w:color w:val="000000"/>
          <w:sz w:val="32"/>
          <w:szCs w:val="32"/>
          <w:highlight w:val="none"/>
          <w:lang w:val="en-US" w:eastAsia="zh-CN"/>
        </w:rPr>
        <w:t>以人民为中心的发展思想</w:t>
      </w:r>
      <w:r>
        <w:rPr>
          <w:rFonts w:hint="default" w:ascii="Times New Roman" w:hAnsi="Times New Roman" w:eastAsia="仿宋_GB2312" w:cs="Times New Roman"/>
          <w:color w:val="000000"/>
          <w:sz w:val="32"/>
          <w:szCs w:val="32"/>
          <w:highlight w:val="none"/>
        </w:rPr>
        <w:t>，贯彻新发展理念，铸牢中华民族共同体意识，按照“谁开发、谁保护，谁污染、谁治理，谁破坏、谁恢复</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谁损害、谁补偿安置</w:t>
      </w:r>
      <w:r>
        <w:rPr>
          <w:rFonts w:hint="default" w:ascii="Times New Roman" w:hAnsi="Times New Roman" w:eastAsia="仿宋_GB2312" w:cs="Times New Roman"/>
          <w:color w:val="000000"/>
          <w:sz w:val="32"/>
          <w:szCs w:val="32"/>
          <w:highlight w:val="none"/>
        </w:rPr>
        <w:t>”的原则，明确责任、统筹发展，切实维护搬迁农牧民合法权益，保障农牧民原有生活水平不降低、长远生计有保障，努力实现经济效益、生态效益、社会效益的有机统一</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创造文明和谐的社会环境和可持续发展的生态环境。</w:t>
      </w:r>
    </w:p>
    <w:p w14:paraId="4064B8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第四条</w:t>
      </w:r>
      <w:r>
        <w:rPr>
          <w:rFonts w:hint="default" w:ascii="Times New Roman" w:hAnsi="Times New Roman" w:eastAsia="仿宋_GB2312" w:cs="Times New Roman"/>
          <w:color w:val="000000"/>
          <w:sz w:val="32"/>
          <w:szCs w:val="32"/>
          <w:highlight w:val="none"/>
        </w:rPr>
        <w:t xml:space="preserve"> 本办法适用于</w:t>
      </w:r>
      <w:r>
        <w:rPr>
          <w:rFonts w:hint="eastAsia" w:ascii="Times New Roman" w:hAnsi="Times New Roman" w:eastAsia="仿宋_GB2312" w:cs="Times New Roman"/>
          <w:color w:val="000000"/>
          <w:sz w:val="32"/>
          <w:szCs w:val="32"/>
          <w:highlight w:val="none"/>
          <w:lang w:val="en-US" w:eastAsia="zh-CN"/>
        </w:rPr>
        <w:t>上海庙</w:t>
      </w:r>
      <w:r>
        <w:rPr>
          <w:rFonts w:hint="default" w:ascii="Times New Roman" w:hAnsi="Times New Roman" w:eastAsia="仿宋_GB2312" w:cs="Times New Roman"/>
          <w:color w:val="000000"/>
          <w:sz w:val="32"/>
          <w:szCs w:val="32"/>
          <w:highlight w:val="none"/>
        </w:rPr>
        <w:t>矿区井田范围内的所有嘎查村、社区</w:t>
      </w:r>
      <w:r>
        <w:rPr>
          <w:rFonts w:hint="default" w:ascii="Times New Roman" w:hAnsi="Times New Roman" w:eastAsia="仿宋_GB2312" w:cs="Times New Roman"/>
          <w:color w:val="000000"/>
          <w:sz w:val="32"/>
          <w:szCs w:val="32"/>
          <w:highlight w:val="none"/>
          <w:lang w:val="en-US" w:eastAsia="zh-CN"/>
        </w:rPr>
        <w:t>农牧户、个体工商户</w:t>
      </w:r>
      <w:r>
        <w:rPr>
          <w:rFonts w:hint="default" w:ascii="Times New Roman" w:hAnsi="Times New Roman" w:eastAsia="仿宋_GB2312" w:cs="Times New Roman"/>
          <w:color w:val="000000"/>
          <w:sz w:val="32"/>
          <w:szCs w:val="32"/>
          <w:highlight w:val="none"/>
        </w:rPr>
        <w:t>及煤炭企业。</w:t>
      </w:r>
    </w:p>
    <w:p w14:paraId="3730AB0A">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firstLine="640" w:firstLineChars="200"/>
        <w:jc w:val="both"/>
        <w:textAlignment w:val="baseline"/>
        <w:rPr>
          <w:rFonts w:hint="eastAsia" w:ascii="Times New Roman" w:hAnsi="Times New Roman" w:eastAsia="仿宋_GB2312" w:cs="仿宋_GB2312"/>
          <w:snapToGrid w:val="0"/>
          <w:color w:val="000000"/>
          <w:kern w:val="0"/>
          <w:sz w:val="32"/>
          <w:szCs w:val="32"/>
          <w:highlight w:val="none"/>
          <w:lang w:val="en-US" w:eastAsia="zh-CN" w:bidi="ar"/>
        </w:rPr>
      </w:pPr>
      <w:r>
        <w:rPr>
          <w:rFonts w:hint="default" w:ascii="Times New Roman" w:hAnsi="Times New Roman" w:eastAsia="黑体" w:cs="Times New Roman"/>
          <w:color w:val="000000"/>
          <w:sz w:val="32"/>
          <w:szCs w:val="32"/>
          <w:highlight w:val="none"/>
          <w:lang w:val="en-US" w:eastAsia="zh-CN"/>
        </w:rPr>
        <w:t>第五条</w:t>
      </w:r>
      <w:r>
        <w:rPr>
          <w:rFonts w:hint="eastAsia"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仿宋_GB2312"/>
          <w:snapToGrid w:val="0"/>
          <w:color w:val="000000"/>
          <w:kern w:val="0"/>
          <w:sz w:val="32"/>
          <w:szCs w:val="32"/>
          <w:highlight w:val="none"/>
          <w:lang w:val="en-US" w:eastAsia="zh-CN" w:bidi="ar"/>
        </w:rPr>
        <w:t>为切实加强对矿区</w:t>
      </w:r>
      <w:r>
        <w:rPr>
          <w:rFonts w:hint="eastAsia" w:ascii="Times New Roman" w:hAnsi="Times New Roman" w:eastAsia="仿宋_GB2312" w:cs="仿宋_GB2312"/>
          <w:snapToGrid w:val="0"/>
          <w:color w:val="000000"/>
          <w:kern w:val="0"/>
          <w:sz w:val="32"/>
          <w:szCs w:val="32"/>
          <w:highlight w:val="none"/>
          <w:lang w:val="en-US" w:eastAsia="zh-CN" w:bidi="ar"/>
        </w:rPr>
        <w:t>塌陷区搬迁补偿</w:t>
      </w:r>
      <w:r>
        <w:rPr>
          <w:rFonts w:hint="default" w:ascii="Times New Roman" w:hAnsi="Times New Roman" w:eastAsia="仿宋_GB2312" w:cs="仿宋_GB2312"/>
          <w:snapToGrid w:val="0"/>
          <w:color w:val="000000"/>
          <w:kern w:val="0"/>
          <w:sz w:val="32"/>
          <w:szCs w:val="32"/>
          <w:highlight w:val="none"/>
          <w:lang w:val="en-US" w:eastAsia="zh-CN" w:bidi="ar"/>
        </w:rPr>
        <w:t>安置工作的组织领导，成立鄂托克前旗</w:t>
      </w:r>
      <w:r>
        <w:rPr>
          <w:rFonts w:hint="eastAsia" w:ascii="Times New Roman" w:hAnsi="Times New Roman" w:eastAsia="仿宋_GB2312" w:cs="仿宋_GB2312"/>
          <w:snapToGrid w:val="0"/>
          <w:color w:val="000000"/>
          <w:kern w:val="0"/>
          <w:sz w:val="32"/>
          <w:szCs w:val="32"/>
          <w:highlight w:val="none"/>
          <w:lang w:val="en-US" w:eastAsia="zh-CN" w:bidi="ar"/>
        </w:rPr>
        <w:t>上海庙</w:t>
      </w:r>
      <w:r>
        <w:rPr>
          <w:rFonts w:hint="default" w:ascii="Times New Roman" w:hAnsi="Times New Roman" w:eastAsia="仿宋_GB2312" w:cs="仿宋_GB2312"/>
          <w:snapToGrid w:val="0"/>
          <w:color w:val="000000"/>
          <w:kern w:val="0"/>
          <w:sz w:val="32"/>
          <w:szCs w:val="32"/>
          <w:highlight w:val="none"/>
          <w:lang w:val="en-US" w:eastAsia="zh-CN" w:bidi="ar"/>
        </w:rPr>
        <w:t>矿区</w:t>
      </w:r>
      <w:r>
        <w:rPr>
          <w:rFonts w:hint="eastAsia" w:ascii="Times New Roman" w:hAnsi="Times New Roman" w:eastAsia="仿宋_GB2312" w:cs="仿宋_GB2312"/>
          <w:snapToGrid w:val="0"/>
          <w:color w:val="000000"/>
          <w:kern w:val="0"/>
          <w:sz w:val="32"/>
          <w:szCs w:val="32"/>
          <w:highlight w:val="none"/>
          <w:lang w:val="en-US" w:eastAsia="zh-CN" w:bidi="ar"/>
        </w:rPr>
        <w:t>塌陷区搬迁</w:t>
      </w:r>
      <w:r>
        <w:rPr>
          <w:rFonts w:hint="default" w:ascii="Times New Roman" w:hAnsi="Times New Roman" w:eastAsia="仿宋_GB2312" w:cs="仿宋_GB2312"/>
          <w:snapToGrid w:val="0"/>
          <w:color w:val="000000"/>
          <w:kern w:val="0"/>
          <w:sz w:val="32"/>
          <w:szCs w:val="32"/>
          <w:highlight w:val="none"/>
          <w:lang w:val="en-US" w:eastAsia="zh-CN" w:bidi="ar"/>
        </w:rPr>
        <w:t>安置补偿工作领导小组，由旗人民政府旗长任组长，分管矿区工作的副旗长任常务副</w:t>
      </w:r>
      <w:r>
        <w:rPr>
          <w:rFonts w:hint="eastAsia" w:ascii="Times New Roman" w:hAnsi="Times New Roman" w:eastAsia="仿宋_GB2312" w:cs="仿宋_GB2312"/>
          <w:snapToGrid w:val="0"/>
          <w:color w:val="000000"/>
          <w:kern w:val="0"/>
          <w:sz w:val="32"/>
          <w:szCs w:val="32"/>
          <w:highlight w:val="none"/>
          <w:lang w:val="en-US" w:eastAsia="zh-CN" w:bidi="ar"/>
        </w:rPr>
        <w:t>组长，其他副旗长任副组长；成员单位为上海庙镇人民政府、旗能源局、旗财政局、旗自然资源局、旗生态环境分局、旗农牧和水利局、旗林业和草原局、旗交通局、旗公安局、旗住建局、旗信访局、旗供电分公司。领导小组办公室设在上海庙镇人民政府，办公室主任由上海庙人民政府镇长兼任。</w:t>
      </w:r>
    </w:p>
    <w:p w14:paraId="61FAA83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val="en-US" w:eastAsia="zh-CN"/>
        </w:rPr>
      </w:pPr>
    </w:p>
    <w:p w14:paraId="6C91FE3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rPr>
        <w:t>第二章</w:t>
      </w:r>
      <w:r>
        <w:rPr>
          <w:rFonts w:hint="default" w:ascii="Times New Roman" w:hAnsi="Times New Roman" w:eastAsia="黑体" w:cs="Times New Roman"/>
          <w:color w:val="000000"/>
          <w:sz w:val="32"/>
          <w:szCs w:val="32"/>
          <w:highlight w:val="none"/>
          <w:lang w:val="en-US" w:eastAsia="zh-CN"/>
        </w:rPr>
        <w:t xml:space="preserve">  搬迁范围</w:t>
      </w:r>
    </w:p>
    <w:p w14:paraId="444DBC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eastAsia" w:ascii="Times New Roman" w:hAnsi="Times New Roman" w:eastAsia="黑体" w:cs="Times New Roman"/>
          <w:color w:val="000000"/>
          <w:sz w:val="32"/>
          <w:szCs w:val="32"/>
          <w:highlight w:val="none"/>
          <w:lang w:val="en-US" w:eastAsia="zh-CN"/>
        </w:rPr>
        <w:t>六</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划入煤炭企业井田范围内的土地及地上附着物等全部进行矿区搬迁</w:t>
      </w:r>
      <w:r>
        <w:rPr>
          <w:rFonts w:hint="default" w:ascii="Times New Roman" w:hAnsi="Times New Roman" w:eastAsia="仿宋_GB2312" w:cs="Times New Roman"/>
          <w:color w:val="000000"/>
          <w:sz w:val="32"/>
          <w:szCs w:val="32"/>
          <w:highlight w:val="none"/>
          <w:lang w:val="en-US" w:eastAsia="zh-CN"/>
        </w:rPr>
        <w:t>安置</w:t>
      </w:r>
      <w:r>
        <w:rPr>
          <w:rFonts w:hint="default" w:ascii="Times New Roman" w:hAnsi="Times New Roman" w:eastAsia="仿宋_GB2312" w:cs="Times New Roman"/>
          <w:color w:val="000000"/>
          <w:sz w:val="32"/>
          <w:szCs w:val="32"/>
          <w:highlight w:val="none"/>
        </w:rPr>
        <w:t>补偿。煤矿首采面占地达到嘎查村</w:t>
      </w:r>
      <w:r>
        <w:rPr>
          <w:rFonts w:hint="eastAsia" w:ascii="Times New Roman" w:hAnsi="Times New Roman" w:eastAsia="仿宋_GB2312" w:cs="Times New Roman"/>
          <w:color w:val="000000"/>
          <w:sz w:val="32"/>
          <w:szCs w:val="32"/>
          <w:highlight w:val="none"/>
          <w:lang w:val="en-US" w:eastAsia="zh-CN"/>
        </w:rPr>
        <w:t>所涉小</w:t>
      </w:r>
      <w:r>
        <w:rPr>
          <w:rFonts w:hint="default" w:ascii="Times New Roman" w:hAnsi="Times New Roman" w:eastAsia="仿宋_GB2312" w:cs="Times New Roman"/>
          <w:color w:val="000000"/>
          <w:sz w:val="32"/>
          <w:szCs w:val="32"/>
          <w:highlight w:val="none"/>
        </w:rPr>
        <w:t>社</w:t>
      </w:r>
      <w:r>
        <w:rPr>
          <w:rFonts w:hint="eastAsia" w:ascii="Times New Roman" w:hAnsi="Times New Roman" w:eastAsia="仿宋_GB2312" w:cs="Times New Roman"/>
          <w:color w:val="000000"/>
          <w:sz w:val="32"/>
          <w:szCs w:val="32"/>
          <w:highlight w:val="none"/>
          <w:lang w:val="en-US" w:eastAsia="zh-CN"/>
        </w:rPr>
        <w:t>的井田范围</w:t>
      </w:r>
      <w:r>
        <w:rPr>
          <w:rFonts w:hint="default" w:ascii="Times New Roman" w:hAnsi="Times New Roman" w:eastAsia="仿宋_GB2312" w:cs="Times New Roman"/>
          <w:color w:val="000000"/>
          <w:sz w:val="32"/>
          <w:szCs w:val="32"/>
          <w:highlight w:val="none"/>
        </w:rPr>
        <w:t>总面积</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lang w:val="en-US" w:eastAsia="zh-CN"/>
        </w:rPr>
        <w:t>0</w:t>
      </w:r>
      <w:r>
        <w:rPr>
          <w:rFonts w:hint="default" w:ascii="Times New Roman" w:hAnsi="Times New Roman" w:eastAsia="仿宋_GB2312" w:cs="Times New Roman"/>
          <w:color w:val="000000"/>
          <w:sz w:val="32"/>
          <w:szCs w:val="32"/>
          <w:highlight w:val="none"/>
        </w:rPr>
        <w:t>%以上或搬迁户比例达到</w:t>
      </w:r>
      <w:r>
        <w:rPr>
          <w:rFonts w:hint="eastAsia" w:ascii="Times New Roman" w:hAnsi="Times New Roman" w:eastAsia="仿宋_GB2312" w:cs="Times New Roman"/>
          <w:color w:val="000000"/>
          <w:sz w:val="32"/>
          <w:szCs w:val="32"/>
          <w:highlight w:val="none"/>
          <w:lang w:val="en-US" w:eastAsia="zh-CN"/>
        </w:rPr>
        <w:t>小社</w:t>
      </w:r>
      <w:r>
        <w:rPr>
          <w:rFonts w:hint="default" w:ascii="Times New Roman" w:hAnsi="Times New Roman" w:eastAsia="仿宋_GB2312" w:cs="Times New Roman"/>
          <w:color w:val="000000"/>
          <w:sz w:val="32"/>
          <w:szCs w:val="32"/>
          <w:highlight w:val="none"/>
        </w:rPr>
        <w:t>常住户</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lang w:val="en-US" w:eastAsia="zh-CN"/>
        </w:rPr>
        <w:t>0</w:t>
      </w:r>
      <w:r>
        <w:rPr>
          <w:rFonts w:hint="default" w:ascii="Times New Roman" w:hAnsi="Times New Roman" w:eastAsia="仿宋_GB2312" w:cs="Times New Roman"/>
          <w:color w:val="000000"/>
          <w:sz w:val="32"/>
          <w:szCs w:val="32"/>
          <w:highlight w:val="none"/>
        </w:rPr>
        <w:t>%以上的</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对划入井田范围的</w:t>
      </w:r>
      <w:r>
        <w:rPr>
          <w:rFonts w:hint="eastAsia" w:ascii="Times New Roman" w:hAnsi="Times New Roman" w:eastAsia="仿宋_GB2312" w:cs="Times New Roman"/>
          <w:color w:val="000000"/>
          <w:sz w:val="32"/>
          <w:szCs w:val="32"/>
          <w:highlight w:val="none"/>
          <w:u w:val="none"/>
          <w:lang w:val="en-US" w:eastAsia="zh-CN"/>
        </w:rPr>
        <w:t>农牧户和个体工商户</w:t>
      </w:r>
      <w:r>
        <w:rPr>
          <w:rFonts w:hint="default" w:ascii="Times New Roman" w:hAnsi="Times New Roman" w:eastAsia="仿宋_GB2312" w:cs="Times New Roman"/>
          <w:color w:val="000000"/>
          <w:sz w:val="32"/>
          <w:szCs w:val="32"/>
          <w:highlight w:val="none"/>
        </w:rPr>
        <w:t>进行</w:t>
      </w:r>
      <w:r>
        <w:rPr>
          <w:rFonts w:hint="eastAsia" w:ascii="Times New Roman" w:hAnsi="Times New Roman" w:eastAsia="仿宋_GB2312" w:cs="Times New Roman"/>
          <w:color w:val="000000"/>
          <w:sz w:val="32"/>
          <w:szCs w:val="32"/>
          <w:highlight w:val="none"/>
          <w:lang w:val="en-US" w:eastAsia="zh-CN"/>
        </w:rPr>
        <w:t>整体</w:t>
      </w:r>
      <w:r>
        <w:rPr>
          <w:rFonts w:hint="default" w:ascii="Times New Roman" w:hAnsi="Times New Roman" w:eastAsia="仿宋_GB2312" w:cs="Times New Roman"/>
          <w:color w:val="000000"/>
          <w:sz w:val="32"/>
          <w:szCs w:val="32"/>
          <w:highlight w:val="none"/>
        </w:rPr>
        <w:t>搬迁。同一个社涉及多个煤矿井田的搬迁</w:t>
      </w:r>
      <w:r>
        <w:rPr>
          <w:rFonts w:hint="default" w:ascii="Times New Roman" w:hAnsi="Times New Roman" w:eastAsia="仿宋_GB2312" w:cs="Times New Roman"/>
          <w:color w:val="000000"/>
          <w:sz w:val="32"/>
          <w:szCs w:val="32"/>
          <w:highlight w:val="none"/>
          <w:lang w:val="en-US" w:eastAsia="zh-CN"/>
        </w:rPr>
        <w:t>安置</w:t>
      </w:r>
      <w:r>
        <w:rPr>
          <w:rFonts w:hint="default" w:ascii="Times New Roman" w:hAnsi="Times New Roman" w:eastAsia="仿宋_GB2312" w:cs="Times New Roman"/>
          <w:color w:val="000000"/>
          <w:sz w:val="32"/>
          <w:szCs w:val="32"/>
          <w:highlight w:val="none"/>
        </w:rPr>
        <w:t>补偿，相关煤炭企业协调配合，同时同步一次性搬迁。</w:t>
      </w:r>
    </w:p>
    <w:p w14:paraId="39F263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第</w:t>
      </w:r>
      <w:r>
        <w:rPr>
          <w:rFonts w:hint="eastAsia" w:ascii="Times New Roman" w:hAnsi="Times New Roman" w:eastAsia="黑体" w:cs="Times New Roman"/>
          <w:color w:val="000000"/>
          <w:sz w:val="32"/>
          <w:szCs w:val="32"/>
          <w:highlight w:val="none"/>
          <w:lang w:val="en-US" w:eastAsia="zh-CN"/>
        </w:rPr>
        <w:t>七</w:t>
      </w:r>
      <w:r>
        <w:rPr>
          <w:rFonts w:hint="default" w:ascii="Times New Roman" w:hAnsi="Times New Roman" w:eastAsia="黑体" w:cs="Times New Roman"/>
          <w:color w:val="000000"/>
          <w:sz w:val="32"/>
          <w:szCs w:val="32"/>
          <w:highlight w:val="none"/>
          <w:lang w:val="en-US" w:eastAsia="zh-CN"/>
        </w:rPr>
        <w:t xml:space="preserve">条 </w:t>
      </w:r>
      <w:r>
        <w:rPr>
          <w:rFonts w:hint="eastAsia" w:ascii="Times New Roman" w:hAnsi="Times New Roman" w:eastAsia="仿宋_GB2312" w:cs="Times New Roman"/>
          <w:color w:val="000000"/>
          <w:sz w:val="32"/>
          <w:szCs w:val="32"/>
          <w:highlight w:val="none"/>
          <w:lang w:val="en-US" w:eastAsia="zh-CN"/>
        </w:rPr>
        <w:t>不符合第六条搬迁条件的农牧户</w:t>
      </w:r>
      <w:r>
        <w:rPr>
          <w:rFonts w:hint="default" w:ascii="Times New Roman" w:hAnsi="Times New Roman" w:eastAsia="仿宋_GB2312" w:cs="Times New Roman"/>
          <w:color w:val="000000"/>
          <w:sz w:val="32"/>
          <w:szCs w:val="32"/>
          <w:highlight w:val="none"/>
          <w:lang w:val="en-US" w:eastAsia="zh-CN"/>
        </w:rPr>
        <w:t>部分水浇地进入井田范围时将全部水浇地面积纳入搬迁范围。</w:t>
      </w:r>
      <w:r>
        <w:rPr>
          <w:rFonts w:hint="eastAsia" w:ascii="Times New Roman" w:hAnsi="Times New Roman" w:eastAsia="仿宋_GB2312" w:cs="Times New Roman"/>
          <w:color w:val="000000"/>
          <w:sz w:val="32"/>
          <w:szCs w:val="32"/>
          <w:highlight w:val="none"/>
          <w:lang w:val="en-US" w:eastAsia="zh-CN"/>
        </w:rPr>
        <w:t>以农牧户为单位，</w:t>
      </w:r>
      <w:r>
        <w:rPr>
          <w:rFonts w:hint="default" w:ascii="Times New Roman" w:hAnsi="Times New Roman" w:eastAsia="仿宋_GB2312" w:cs="Times New Roman"/>
          <w:color w:val="000000"/>
          <w:sz w:val="32"/>
          <w:szCs w:val="32"/>
          <w:highlight w:val="none"/>
          <w:lang w:val="en-US" w:eastAsia="zh-CN"/>
        </w:rPr>
        <w:t>草牧场进入采区范围达到</w:t>
      </w:r>
      <w:r>
        <w:rPr>
          <w:rFonts w:hint="eastAsia" w:ascii="Times New Roman" w:hAnsi="Times New Roman" w:eastAsia="仿宋_GB2312" w:cs="Times New Roman"/>
          <w:color w:val="000000"/>
          <w:sz w:val="32"/>
          <w:szCs w:val="32"/>
          <w:highlight w:val="none"/>
          <w:lang w:val="en-US" w:eastAsia="zh-CN"/>
        </w:rPr>
        <w:t>60</w:t>
      </w:r>
      <w:r>
        <w:rPr>
          <w:rFonts w:hint="default" w:ascii="Times New Roman" w:hAnsi="Times New Roman" w:eastAsia="仿宋_GB2312" w:cs="Times New Roman"/>
          <w:color w:val="000000"/>
          <w:sz w:val="32"/>
          <w:szCs w:val="32"/>
          <w:highlight w:val="none"/>
          <w:lang w:val="en-US" w:eastAsia="zh-CN"/>
        </w:rPr>
        <w:t>%（包括）以上时草牧场整体搬迁补偿。如草牧场进入采区范围不到</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lang w:val="en-US" w:eastAsia="zh-CN"/>
        </w:rPr>
        <w:t>0%，将采区范围内草牧场进行</w:t>
      </w:r>
      <w:r>
        <w:rPr>
          <w:rFonts w:hint="eastAsia" w:ascii="Times New Roman" w:hAnsi="Times New Roman" w:eastAsia="仿宋_GB2312" w:cs="Times New Roman"/>
          <w:color w:val="000000"/>
          <w:sz w:val="32"/>
          <w:szCs w:val="32"/>
          <w:highlight w:val="none"/>
          <w:lang w:val="en-US" w:eastAsia="zh-CN"/>
        </w:rPr>
        <w:t>搬迁</w:t>
      </w:r>
      <w:r>
        <w:rPr>
          <w:rFonts w:hint="default" w:ascii="Times New Roman" w:hAnsi="Times New Roman" w:eastAsia="仿宋_GB2312" w:cs="Times New Roman"/>
          <w:color w:val="000000"/>
          <w:sz w:val="32"/>
          <w:szCs w:val="32"/>
          <w:highlight w:val="none"/>
          <w:lang w:val="en-US" w:eastAsia="zh-CN"/>
        </w:rPr>
        <w:t>补偿</w:t>
      </w:r>
      <w:r>
        <w:rPr>
          <w:rFonts w:hint="eastAsia" w:ascii="Times New Roman" w:hAnsi="Times New Roman" w:eastAsia="仿宋_GB2312" w:cs="Times New Roman"/>
          <w:color w:val="000000"/>
          <w:sz w:val="32"/>
          <w:szCs w:val="32"/>
          <w:highlight w:val="none"/>
          <w:lang w:val="en-US" w:eastAsia="zh-CN"/>
        </w:rPr>
        <w:t>。</w:t>
      </w:r>
    </w:p>
    <w:p w14:paraId="5783A9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第</w:t>
      </w:r>
      <w:r>
        <w:rPr>
          <w:rFonts w:hint="eastAsia" w:ascii="Times New Roman" w:hAnsi="Times New Roman" w:eastAsia="黑体" w:cs="Times New Roman"/>
          <w:color w:val="000000"/>
          <w:sz w:val="32"/>
          <w:szCs w:val="32"/>
          <w:highlight w:val="none"/>
          <w:lang w:val="en-US" w:eastAsia="zh-CN"/>
        </w:rPr>
        <w:t>八</w:t>
      </w:r>
      <w:r>
        <w:rPr>
          <w:rFonts w:hint="default" w:ascii="Times New Roman" w:hAnsi="Times New Roman" w:eastAsia="黑体" w:cs="Times New Roman"/>
          <w:color w:val="000000"/>
          <w:sz w:val="32"/>
          <w:szCs w:val="32"/>
          <w:highlight w:val="none"/>
          <w:lang w:val="en-US" w:eastAsia="zh-CN"/>
        </w:rPr>
        <w:t>条</w:t>
      </w:r>
      <w:r>
        <w:rPr>
          <w:rFonts w:hint="default" w:ascii="Times New Roman" w:hAnsi="Times New Roman" w:eastAsia="仿宋_GB2312" w:cs="Times New Roman"/>
          <w:color w:val="000000"/>
          <w:sz w:val="32"/>
          <w:szCs w:val="32"/>
          <w:highlight w:val="none"/>
          <w:lang w:val="en-US" w:eastAsia="zh-CN"/>
        </w:rPr>
        <w:t xml:space="preserve"> </w:t>
      </w:r>
      <w:r>
        <w:rPr>
          <w:rFonts w:hint="eastAsia" w:ascii="Times New Roman" w:hAnsi="Times New Roman" w:eastAsia="仿宋_GB2312" w:cs="Times New Roman"/>
          <w:color w:val="000000"/>
          <w:sz w:val="32"/>
          <w:szCs w:val="32"/>
          <w:highlight w:val="none"/>
          <w:lang w:val="en-US" w:eastAsia="zh-CN"/>
        </w:rPr>
        <w:t>规划范围内和</w:t>
      </w:r>
      <w:r>
        <w:rPr>
          <w:rFonts w:hint="default" w:ascii="Times New Roman" w:hAnsi="Times New Roman" w:eastAsia="仿宋_GB2312" w:cs="Times New Roman"/>
          <w:color w:val="000000"/>
          <w:sz w:val="32"/>
          <w:szCs w:val="32"/>
          <w:highlight w:val="none"/>
          <w:lang w:eastAsia="zh-CN"/>
        </w:rPr>
        <w:t>井田范围外的搬迁</w:t>
      </w:r>
      <w:r>
        <w:rPr>
          <w:rFonts w:hint="default" w:ascii="Times New Roman" w:hAnsi="Times New Roman" w:eastAsia="仿宋_GB2312" w:cs="Times New Roman"/>
          <w:color w:val="000000"/>
          <w:sz w:val="32"/>
          <w:szCs w:val="32"/>
          <w:highlight w:val="none"/>
          <w:lang w:val="en-US" w:eastAsia="zh-CN"/>
        </w:rPr>
        <w:t>安置</w:t>
      </w:r>
      <w:r>
        <w:rPr>
          <w:rFonts w:hint="default" w:ascii="Times New Roman" w:hAnsi="Times New Roman" w:eastAsia="仿宋_GB2312" w:cs="Times New Roman"/>
          <w:color w:val="000000"/>
          <w:sz w:val="32"/>
          <w:szCs w:val="32"/>
          <w:highlight w:val="none"/>
          <w:lang w:eastAsia="zh-CN"/>
        </w:rPr>
        <w:t>补偿，</w:t>
      </w:r>
      <w:r>
        <w:rPr>
          <w:rFonts w:hint="eastAsia" w:ascii="Times New Roman" w:hAnsi="Times New Roman" w:eastAsia="仿宋_GB2312" w:cs="Times New Roman"/>
          <w:color w:val="000000"/>
          <w:sz w:val="32"/>
          <w:szCs w:val="32"/>
          <w:highlight w:val="none"/>
          <w:lang w:val="en-US" w:eastAsia="zh-CN"/>
        </w:rPr>
        <w:t>由上海庙</w:t>
      </w:r>
      <w:r>
        <w:rPr>
          <w:rFonts w:hint="default" w:ascii="Times New Roman" w:hAnsi="Times New Roman" w:eastAsia="仿宋_GB2312" w:cs="Times New Roman"/>
          <w:color w:val="000000"/>
          <w:sz w:val="32"/>
          <w:szCs w:val="32"/>
          <w:highlight w:val="none"/>
          <w:lang w:val="en-US" w:eastAsia="zh-CN"/>
        </w:rPr>
        <w:t>镇人民政府</w:t>
      </w:r>
      <w:r>
        <w:rPr>
          <w:rFonts w:hint="default" w:ascii="Times New Roman" w:hAnsi="Times New Roman" w:eastAsia="仿宋_GB2312" w:cs="Times New Roman"/>
          <w:color w:val="000000"/>
          <w:sz w:val="32"/>
          <w:szCs w:val="32"/>
          <w:highlight w:val="none"/>
          <w:lang w:eastAsia="zh-CN"/>
        </w:rPr>
        <w:t>委托</w:t>
      </w:r>
      <w:r>
        <w:rPr>
          <w:rFonts w:hint="eastAsia" w:ascii="Times New Roman" w:hAnsi="Times New Roman" w:eastAsia="仿宋_GB2312" w:cs="Times New Roman"/>
          <w:color w:val="000000"/>
          <w:sz w:val="32"/>
          <w:szCs w:val="32"/>
          <w:highlight w:val="none"/>
          <w:lang w:val="en-US" w:eastAsia="zh-CN"/>
        </w:rPr>
        <w:t>具有资质的</w:t>
      </w:r>
      <w:r>
        <w:rPr>
          <w:rFonts w:hint="default" w:ascii="Times New Roman" w:hAnsi="Times New Roman" w:eastAsia="仿宋_GB2312" w:cs="Times New Roman"/>
          <w:color w:val="000000"/>
          <w:sz w:val="32"/>
          <w:szCs w:val="32"/>
          <w:highlight w:val="none"/>
          <w:lang w:eastAsia="zh-CN"/>
        </w:rPr>
        <w:t>第三方机构进行鉴定或评估，根据鉴定或评估结果拟定</w:t>
      </w:r>
      <w:r>
        <w:rPr>
          <w:rFonts w:hint="eastAsia" w:ascii="Times New Roman" w:hAnsi="Times New Roman" w:eastAsia="仿宋_GB2312" w:cs="Times New Roman"/>
          <w:color w:val="000000"/>
          <w:sz w:val="32"/>
          <w:szCs w:val="32"/>
          <w:highlight w:val="none"/>
          <w:lang w:val="en-US" w:eastAsia="zh-CN"/>
        </w:rPr>
        <w:t>搬迁范围和</w:t>
      </w:r>
      <w:r>
        <w:rPr>
          <w:rFonts w:hint="default" w:ascii="Times New Roman" w:hAnsi="Times New Roman" w:eastAsia="仿宋_GB2312" w:cs="Times New Roman"/>
          <w:color w:val="000000"/>
          <w:sz w:val="32"/>
          <w:szCs w:val="32"/>
          <w:highlight w:val="none"/>
          <w:lang w:eastAsia="zh-CN"/>
        </w:rPr>
        <w:t>搬迁补偿方案</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报旗</w:t>
      </w:r>
      <w:r>
        <w:rPr>
          <w:rFonts w:hint="eastAsia" w:ascii="Times New Roman" w:hAnsi="Times New Roman" w:eastAsia="仿宋_GB2312" w:cs="Times New Roman"/>
          <w:color w:val="000000"/>
          <w:sz w:val="32"/>
          <w:szCs w:val="32"/>
          <w:highlight w:val="none"/>
          <w:lang w:val="en-US" w:eastAsia="zh-CN"/>
        </w:rPr>
        <w:t>工作</w:t>
      </w:r>
      <w:r>
        <w:rPr>
          <w:rFonts w:hint="default" w:ascii="Times New Roman" w:hAnsi="Times New Roman" w:eastAsia="仿宋_GB2312" w:cs="Times New Roman"/>
          <w:color w:val="000000"/>
          <w:sz w:val="32"/>
          <w:szCs w:val="32"/>
          <w:highlight w:val="none"/>
          <w:lang w:val="en-US" w:eastAsia="zh-CN"/>
        </w:rPr>
        <w:t>领导小组</w:t>
      </w:r>
      <w:r>
        <w:rPr>
          <w:rFonts w:hint="eastAsia" w:ascii="Times New Roman" w:hAnsi="Times New Roman" w:eastAsia="仿宋_GB2312" w:cs="Times New Roman"/>
          <w:color w:val="000000"/>
          <w:sz w:val="32"/>
          <w:szCs w:val="32"/>
          <w:highlight w:val="none"/>
          <w:lang w:val="en-US" w:eastAsia="zh-CN"/>
        </w:rPr>
        <w:t>同意后组织实施。</w:t>
      </w:r>
    </w:p>
    <w:p w14:paraId="22C5781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eastAsia" w:ascii="Times New Roman" w:hAnsi="Times New Roman" w:eastAsia="黑体" w:cs="Times New Roman"/>
          <w:color w:val="000000"/>
          <w:sz w:val="32"/>
          <w:szCs w:val="32"/>
          <w:highlight w:val="none"/>
          <w:lang w:val="en-US" w:eastAsia="zh-CN"/>
        </w:rPr>
        <w:t>三</w:t>
      </w:r>
      <w:r>
        <w:rPr>
          <w:rFonts w:hint="default" w:ascii="Times New Roman" w:hAnsi="Times New Roman" w:eastAsia="黑体" w:cs="Times New Roman"/>
          <w:color w:val="000000"/>
          <w:sz w:val="32"/>
          <w:szCs w:val="32"/>
          <w:highlight w:val="none"/>
        </w:rPr>
        <w:t>章</w:t>
      </w:r>
      <w:r>
        <w:rPr>
          <w:rFonts w:hint="default" w:ascii="Times New Roman" w:hAnsi="Times New Roman" w:eastAsia="黑体" w:cs="Times New Roman"/>
          <w:color w:val="000000"/>
          <w:sz w:val="32"/>
          <w:szCs w:val="32"/>
          <w:highlight w:val="none"/>
          <w:lang w:val="en-US" w:eastAsia="zh-CN"/>
        </w:rPr>
        <w:t xml:space="preserve">  工作</w:t>
      </w:r>
      <w:r>
        <w:rPr>
          <w:rFonts w:hint="default" w:ascii="Times New Roman" w:hAnsi="Times New Roman" w:eastAsia="黑体" w:cs="Times New Roman"/>
          <w:color w:val="000000"/>
          <w:sz w:val="32"/>
          <w:szCs w:val="32"/>
          <w:highlight w:val="none"/>
        </w:rPr>
        <w:t>程序</w:t>
      </w:r>
    </w:p>
    <w:p w14:paraId="252308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黑体" w:cs="Times New Roman"/>
          <w:color w:val="000000"/>
          <w:sz w:val="32"/>
          <w:szCs w:val="32"/>
          <w:highlight w:val="none"/>
        </w:rPr>
        <w:t>第</w:t>
      </w:r>
      <w:r>
        <w:rPr>
          <w:rFonts w:hint="eastAsia" w:ascii="Times New Roman" w:hAnsi="Times New Roman" w:eastAsia="黑体" w:cs="Times New Roman"/>
          <w:color w:val="000000"/>
          <w:sz w:val="32"/>
          <w:szCs w:val="32"/>
          <w:highlight w:val="none"/>
          <w:lang w:val="en-US" w:eastAsia="zh-CN"/>
        </w:rPr>
        <w:t>九</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val="en-US" w:eastAsia="zh-CN"/>
        </w:rPr>
        <w:t>矿区塌陷区搬迁</w:t>
      </w:r>
      <w:r>
        <w:rPr>
          <w:rFonts w:hint="default" w:ascii="Times New Roman" w:hAnsi="Times New Roman" w:eastAsia="仿宋_GB2312" w:cs="Times New Roman"/>
          <w:color w:val="000000"/>
          <w:sz w:val="32"/>
          <w:szCs w:val="32"/>
          <w:highlight w:val="none"/>
        </w:rPr>
        <w:t>安置补偿工作，以相关煤炭企业为补偿主体，由</w:t>
      </w:r>
      <w:r>
        <w:rPr>
          <w:rFonts w:hint="eastAsia" w:ascii="Times New Roman" w:hAnsi="Times New Roman" w:eastAsia="仿宋_GB2312" w:cs="Times New Roman"/>
          <w:color w:val="000000"/>
          <w:sz w:val="32"/>
          <w:szCs w:val="32"/>
          <w:highlight w:val="none"/>
          <w:lang w:val="en-US" w:eastAsia="zh-CN"/>
        </w:rPr>
        <w:t>上海庙</w:t>
      </w:r>
      <w:r>
        <w:rPr>
          <w:rFonts w:hint="default" w:ascii="Times New Roman" w:hAnsi="Times New Roman" w:eastAsia="仿宋_GB2312" w:cs="Times New Roman"/>
          <w:color w:val="000000"/>
          <w:sz w:val="32"/>
          <w:szCs w:val="32"/>
          <w:highlight w:val="none"/>
        </w:rPr>
        <w:t>镇</w:t>
      </w:r>
      <w:r>
        <w:rPr>
          <w:rFonts w:hint="default" w:ascii="Times New Roman" w:hAnsi="Times New Roman" w:eastAsia="仿宋_GB2312" w:cs="Times New Roman"/>
          <w:color w:val="000000"/>
          <w:sz w:val="32"/>
          <w:szCs w:val="32"/>
          <w:highlight w:val="none"/>
          <w:lang w:val="en-US" w:eastAsia="zh-CN"/>
        </w:rPr>
        <w:t>人民</w:t>
      </w:r>
      <w:r>
        <w:rPr>
          <w:rFonts w:hint="default" w:ascii="Times New Roman" w:hAnsi="Times New Roman" w:eastAsia="仿宋_GB2312" w:cs="Times New Roman"/>
          <w:color w:val="000000"/>
          <w:sz w:val="32"/>
          <w:szCs w:val="32"/>
          <w:highlight w:val="none"/>
        </w:rPr>
        <w:t>政府牵头组织实施，旗</w:t>
      </w:r>
      <w:r>
        <w:rPr>
          <w:rFonts w:hint="default" w:ascii="Times New Roman" w:hAnsi="Times New Roman" w:eastAsia="仿宋_GB2312" w:cs="Times New Roman"/>
          <w:color w:val="000000"/>
          <w:sz w:val="32"/>
          <w:szCs w:val="32"/>
          <w:highlight w:val="none"/>
          <w:lang w:val="en-US" w:eastAsia="zh-CN"/>
        </w:rPr>
        <w:t>自然资源局</w:t>
      </w:r>
      <w:r>
        <w:rPr>
          <w:rFonts w:hint="default" w:ascii="Times New Roman" w:hAnsi="Times New Roman" w:eastAsia="仿宋_GB2312" w:cs="Times New Roman"/>
          <w:color w:val="000000"/>
          <w:sz w:val="32"/>
          <w:szCs w:val="32"/>
          <w:highlight w:val="none"/>
        </w:rPr>
        <w:t>协调监督管理，相关部门积极配合。具体工作程序</w:t>
      </w:r>
      <w:r>
        <w:rPr>
          <w:rFonts w:hint="default" w:ascii="Times New Roman" w:hAnsi="Times New Roman" w:eastAsia="仿宋_GB2312" w:cs="Times New Roman"/>
          <w:color w:val="000000"/>
          <w:sz w:val="32"/>
          <w:szCs w:val="32"/>
          <w:highlight w:val="none"/>
          <w:lang w:eastAsia="zh-CN"/>
        </w:rPr>
        <w:t>：</w:t>
      </w:r>
    </w:p>
    <w:p w14:paraId="0DEEA4C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473" w:firstLineChars="148"/>
        <w:jc w:val="both"/>
        <w:textAlignment w:val="baseline"/>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lang w:val="en-US" w:eastAsia="zh-CN"/>
        </w:rPr>
        <w:t>一</w:t>
      </w:r>
      <w:r>
        <w:rPr>
          <w:rFonts w:hint="eastAsia" w:ascii="Times New Roman" w:hAnsi="Times New Roman" w:eastAsia="仿宋_GB2312" w:cs="仿宋_GB2312"/>
          <w:color w:val="000000"/>
          <w:sz w:val="32"/>
          <w:szCs w:val="32"/>
          <w:highlight w:val="none"/>
          <w:lang w:eastAsia="zh-CN"/>
        </w:rPr>
        <w:t>）</w:t>
      </w:r>
      <w:r>
        <w:rPr>
          <w:rFonts w:hint="eastAsia" w:ascii="Times New Roman" w:hAnsi="Times New Roman" w:eastAsia="仿宋_GB2312" w:cs="仿宋_GB2312"/>
          <w:color w:val="000000"/>
          <w:sz w:val="32"/>
          <w:szCs w:val="32"/>
          <w:highlight w:val="none"/>
        </w:rPr>
        <w:t>煤炭企业</w:t>
      </w:r>
      <w:r>
        <w:rPr>
          <w:rFonts w:hint="eastAsia" w:ascii="Times New Roman" w:hAnsi="Times New Roman" w:eastAsia="仿宋_GB2312" w:cs="仿宋_GB2312"/>
          <w:color w:val="000000"/>
          <w:sz w:val="32"/>
          <w:szCs w:val="32"/>
          <w:highlight w:val="none"/>
          <w:lang w:val="en-US" w:eastAsia="zh-CN"/>
        </w:rPr>
        <w:t>提前一年向上海庙镇人民政府</w:t>
      </w:r>
      <w:r>
        <w:rPr>
          <w:rFonts w:ascii="仿宋_GB2312" w:hAnsi="宋体" w:eastAsia="仿宋_GB2312" w:cs="仿宋_GB2312"/>
          <w:b w:val="0"/>
          <w:bCs w:val="0"/>
          <w:color w:val="000000"/>
          <w:sz w:val="31"/>
          <w:szCs w:val="31"/>
          <w:highlight w:val="none"/>
        </w:rPr>
        <w:t>报送开采井田的井上井下对照图及三年开采计划</w:t>
      </w:r>
      <w:r>
        <w:rPr>
          <w:rFonts w:hint="eastAsia" w:ascii="仿宋_GB2312" w:hAnsi="宋体" w:eastAsia="仿宋_GB2312" w:cs="仿宋_GB2312"/>
          <w:b w:val="0"/>
          <w:bCs w:val="0"/>
          <w:color w:val="000000"/>
          <w:sz w:val="31"/>
          <w:szCs w:val="31"/>
          <w:highlight w:val="none"/>
          <w:lang w:val="en-US" w:eastAsia="zh-CN"/>
        </w:rPr>
        <w:t>及</w:t>
      </w:r>
      <w:r>
        <w:rPr>
          <w:rFonts w:hint="default" w:ascii="Times New Roman" w:hAnsi="Times New Roman" w:eastAsia="仿宋_GB2312" w:cs="Times New Roman"/>
          <w:color w:val="000000"/>
          <w:sz w:val="32"/>
          <w:szCs w:val="32"/>
          <w:highlight w:val="none"/>
        </w:rPr>
        <w:t>搬迁嘎查村</w:t>
      </w:r>
      <w:r>
        <w:rPr>
          <w:rFonts w:hint="default" w:ascii="Times New Roman" w:hAnsi="Times New Roman" w:eastAsia="仿宋_GB2312" w:cs="Times New Roman"/>
          <w:color w:val="000000"/>
          <w:sz w:val="32"/>
          <w:szCs w:val="32"/>
          <w:highlight w:val="none"/>
          <w:lang w:val="en-US" w:eastAsia="zh-CN"/>
        </w:rPr>
        <w:t>社</w:t>
      </w:r>
      <w:r>
        <w:rPr>
          <w:rFonts w:hint="eastAsia" w:ascii="Times New Roman" w:hAnsi="Times New Roman" w:eastAsia="仿宋_GB2312" w:cs="Times New Roman"/>
          <w:color w:val="000000"/>
          <w:sz w:val="32"/>
          <w:szCs w:val="32"/>
          <w:highlight w:val="none"/>
          <w:lang w:val="en-US" w:eastAsia="zh-CN"/>
        </w:rPr>
        <w:t>区的小社</w:t>
      </w:r>
      <w:r>
        <w:rPr>
          <w:rFonts w:hint="default" w:ascii="Times New Roman" w:hAnsi="Times New Roman" w:eastAsia="仿宋_GB2312" w:cs="Times New Roman"/>
          <w:color w:val="000000"/>
          <w:sz w:val="32"/>
          <w:szCs w:val="32"/>
          <w:highlight w:val="none"/>
        </w:rPr>
        <w:t>名称、人口、土地面积、</w:t>
      </w:r>
      <w:r>
        <w:rPr>
          <w:rFonts w:hint="default" w:ascii="Times New Roman" w:hAnsi="Times New Roman" w:eastAsia="仿宋_GB2312" w:cs="Times New Roman"/>
          <w:color w:val="000000"/>
          <w:sz w:val="32"/>
          <w:szCs w:val="32"/>
          <w:highlight w:val="none"/>
          <w:lang w:val="en-US" w:eastAsia="zh-CN"/>
        </w:rPr>
        <w:t>涉及煤炭企业、</w:t>
      </w:r>
      <w:r>
        <w:rPr>
          <w:rFonts w:hint="default" w:ascii="Times New Roman" w:hAnsi="Times New Roman" w:eastAsia="仿宋_GB2312" w:cs="Times New Roman"/>
          <w:color w:val="000000"/>
          <w:sz w:val="32"/>
          <w:szCs w:val="32"/>
          <w:highlight w:val="none"/>
        </w:rPr>
        <w:t>计划搬迁时间</w:t>
      </w:r>
      <w:r>
        <w:rPr>
          <w:rFonts w:hint="eastAsia" w:ascii="Times New Roman" w:hAnsi="Times New Roman" w:eastAsia="仿宋_GB2312" w:cs="Times New Roman"/>
          <w:color w:val="000000"/>
          <w:sz w:val="32"/>
          <w:szCs w:val="32"/>
          <w:highlight w:val="none"/>
          <w:lang w:val="en-US" w:eastAsia="zh-CN"/>
        </w:rPr>
        <w:t>等，</w:t>
      </w:r>
      <w:r>
        <w:rPr>
          <w:rFonts w:hint="eastAsia" w:ascii="仿宋_GB2312" w:hAnsi="宋体" w:eastAsia="仿宋_GB2312" w:cs="仿宋_GB2312"/>
          <w:b w:val="0"/>
          <w:bCs w:val="0"/>
          <w:color w:val="000000"/>
          <w:sz w:val="31"/>
          <w:szCs w:val="31"/>
          <w:highlight w:val="none"/>
          <w:lang w:val="en-US" w:eastAsia="zh-CN"/>
        </w:rPr>
        <w:t>煤炭企业</w:t>
      </w:r>
      <w:r>
        <w:rPr>
          <w:rFonts w:hint="eastAsia" w:ascii="Times New Roman" w:hAnsi="Times New Roman" w:eastAsia="仿宋_GB2312" w:cs="仿宋_GB2312"/>
          <w:color w:val="000000"/>
          <w:sz w:val="32"/>
          <w:szCs w:val="32"/>
          <w:highlight w:val="none"/>
        </w:rPr>
        <w:t>结合采掘计划向</w:t>
      </w:r>
      <w:r>
        <w:rPr>
          <w:rFonts w:hint="eastAsia" w:ascii="Times New Roman" w:hAnsi="Times New Roman" w:eastAsia="仿宋_GB2312" w:cs="仿宋_GB2312"/>
          <w:color w:val="000000"/>
          <w:sz w:val="32"/>
          <w:szCs w:val="32"/>
          <w:highlight w:val="none"/>
          <w:lang w:val="en-US" w:eastAsia="zh-CN"/>
        </w:rPr>
        <w:t>上海庙</w:t>
      </w:r>
      <w:r>
        <w:rPr>
          <w:rFonts w:hint="eastAsia" w:ascii="Times New Roman" w:hAnsi="Times New Roman" w:eastAsia="仿宋_GB2312" w:cs="仿宋_GB2312"/>
          <w:color w:val="000000"/>
          <w:sz w:val="32"/>
          <w:szCs w:val="32"/>
          <w:highlight w:val="none"/>
        </w:rPr>
        <w:t>镇</w:t>
      </w:r>
      <w:r>
        <w:rPr>
          <w:rFonts w:hint="eastAsia" w:ascii="Times New Roman" w:hAnsi="Times New Roman" w:eastAsia="仿宋_GB2312" w:cs="仿宋_GB2312"/>
          <w:color w:val="000000"/>
          <w:sz w:val="32"/>
          <w:szCs w:val="32"/>
          <w:highlight w:val="none"/>
          <w:lang w:val="en-US" w:eastAsia="zh-CN"/>
        </w:rPr>
        <w:t>人民</w:t>
      </w:r>
      <w:r>
        <w:rPr>
          <w:rFonts w:hint="eastAsia" w:ascii="Times New Roman" w:hAnsi="Times New Roman" w:eastAsia="仿宋_GB2312" w:cs="仿宋_GB2312"/>
          <w:color w:val="000000"/>
          <w:sz w:val="32"/>
          <w:szCs w:val="32"/>
          <w:highlight w:val="none"/>
        </w:rPr>
        <w:t>政府书面提出搬迁补偿申请，</w:t>
      </w:r>
      <w:r>
        <w:rPr>
          <w:rFonts w:hint="eastAsia" w:ascii="Times New Roman" w:hAnsi="Times New Roman" w:eastAsia="仿宋_GB2312" w:cs="仿宋_GB2312"/>
          <w:color w:val="000000"/>
          <w:sz w:val="32"/>
          <w:szCs w:val="32"/>
          <w:highlight w:val="none"/>
          <w:lang w:val="en-US" w:eastAsia="zh-CN"/>
        </w:rPr>
        <w:t>或由受影响嘎查村社及农牧户提出申请，上海庙镇人民政府根据实际情况审核申请内容，形成搬迁计划</w:t>
      </w:r>
      <w:r>
        <w:rPr>
          <w:rFonts w:hint="eastAsia" w:ascii="Times New Roman" w:hAnsi="Times New Roman" w:eastAsia="仿宋_GB2312" w:cs="仿宋_GB2312"/>
          <w:color w:val="000000"/>
          <w:sz w:val="32"/>
          <w:szCs w:val="32"/>
          <w:highlight w:val="none"/>
        </w:rPr>
        <w:t>，</w:t>
      </w:r>
      <w:r>
        <w:rPr>
          <w:rFonts w:hint="eastAsia" w:ascii="Times New Roman" w:hAnsi="Times New Roman" w:eastAsia="仿宋_GB2312" w:cs="仿宋_GB2312"/>
          <w:color w:val="000000"/>
          <w:sz w:val="32"/>
          <w:szCs w:val="32"/>
          <w:highlight w:val="none"/>
          <w:lang w:val="en-US" w:eastAsia="zh-CN"/>
        </w:rPr>
        <w:t>报请工作领导小组审定后，报旗人民政府批准并</w:t>
      </w:r>
      <w:r>
        <w:rPr>
          <w:rFonts w:hint="eastAsia" w:ascii="Times New Roman" w:hAnsi="Times New Roman" w:eastAsia="仿宋_GB2312" w:cs="仿宋_GB2312"/>
          <w:color w:val="000000"/>
          <w:sz w:val="32"/>
          <w:szCs w:val="32"/>
          <w:highlight w:val="none"/>
        </w:rPr>
        <w:t>发布搬迁公告。</w:t>
      </w:r>
    </w:p>
    <w:p w14:paraId="70B6D49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jc w:val="both"/>
        <w:textAlignment w:val="baseline"/>
        <w:rPr>
          <w:rFonts w:hint="eastAsia" w:ascii="Times New Roman" w:hAnsi="Times New Roman" w:eastAsia="仿宋" w:cs="Times New Roman"/>
          <w:color w:val="000000"/>
          <w:sz w:val="32"/>
          <w:szCs w:val="32"/>
          <w:highlight w:val="none"/>
          <w:lang w:eastAsia="zh-CN"/>
        </w:rPr>
      </w:pPr>
      <w:r>
        <w:rPr>
          <w:rFonts w:hint="eastAsia" w:ascii="Times New Roman" w:hAnsi="Times New Roman" w:eastAsia="仿宋_GB2312" w:cs="仿宋_GB2312"/>
          <w:color w:val="000000"/>
          <w:spacing w:val="8"/>
          <w:sz w:val="32"/>
          <w:szCs w:val="32"/>
          <w:highlight w:val="none"/>
          <w:lang w:eastAsia="zh-CN"/>
        </w:rPr>
        <w:t>（</w:t>
      </w:r>
      <w:r>
        <w:rPr>
          <w:rFonts w:hint="eastAsia" w:ascii="Times New Roman" w:hAnsi="Times New Roman" w:eastAsia="仿宋_GB2312" w:cs="仿宋_GB2312"/>
          <w:color w:val="000000"/>
          <w:spacing w:val="8"/>
          <w:sz w:val="32"/>
          <w:szCs w:val="32"/>
          <w:highlight w:val="none"/>
          <w:lang w:val="en-US" w:eastAsia="zh-CN"/>
        </w:rPr>
        <w:t>二</w:t>
      </w:r>
      <w:r>
        <w:rPr>
          <w:rFonts w:hint="eastAsia" w:ascii="Times New Roman" w:hAnsi="Times New Roman" w:eastAsia="仿宋_GB2312" w:cs="仿宋_GB2312"/>
          <w:color w:val="000000"/>
          <w:spacing w:val="8"/>
          <w:sz w:val="32"/>
          <w:szCs w:val="32"/>
          <w:highlight w:val="none"/>
          <w:lang w:eastAsia="zh-CN"/>
        </w:rPr>
        <w:t>）</w:t>
      </w:r>
      <w:r>
        <w:rPr>
          <w:rFonts w:hint="eastAsia" w:ascii="Times New Roman" w:hAnsi="Times New Roman" w:eastAsia="仿宋_GB2312" w:cs="仿宋_GB2312"/>
          <w:color w:val="000000"/>
          <w:spacing w:val="8"/>
          <w:sz w:val="32"/>
          <w:szCs w:val="32"/>
          <w:highlight w:val="none"/>
          <w:lang w:val="en-US" w:eastAsia="zh-CN"/>
        </w:rPr>
        <w:t>上海庙矿区</w:t>
      </w:r>
      <w:r>
        <w:rPr>
          <w:rFonts w:ascii="仿宋" w:hAnsi="仿宋" w:eastAsia="仿宋" w:cs="仿宋"/>
          <w:color w:val="000000"/>
          <w:spacing w:val="8"/>
          <w:sz w:val="32"/>
          <w:szCs w:val="32"/>
          <w:highlight w:val="none"/>
        </w:rPr>
        <w:t>塌陷区搬迁补偿安置工作领导小组与煤炭企</w:t>
      </w:r>
      <w:r>
        <w:rPr>
          <w:rFonts w:ascii="仿宋" w:hAnsi="仿宋" w:eastAsia="仿宋" w:cs="仿宋"/>
          <w:color w:val="000000"/>
          <w:spacing w:val="-1"/>
          <w:sz w:val="32"/>
          <w:szCs w:val="32"/>
          <w:highlight w:val="none"/>
        </w:rPr>
        <w:t>业建立补偿款预付机制，每年年初企业按照吨煤7元的标准预付</w:t>
      </w:r>
      <w:r>
        <w:rPr>
          <w:rFonts w:ascii="仿宋" w:hAnsi="仿宋" w:eastAsia="仿宋" w:cs="仿宋"/>
          <w:color w:val="000000"/>
          <w:spacing w:val="-6"/>
          <w:sz w:val="32"/>
          <w:szCs w:val="32"/>
          <w:highlight w:val="none"/>
        </w:rPr>
        <w:t>资金，统筹用于</w:t>
      </w:r>
      <w:r>
        <w:rPr>
          <w:rFonts w:hint="eastAsia" w:ascii="仿宋" w:hAnsi="仿宋" w:eastAsia="仿宋" w:cs="仿宋"/>
          <w:color w:val="000000"/>
          <w:spacing w:val="-6"/>
          <w:sz w:val="32"/>
          <w:szCs w:val="32"/>
          <w:highlight w:val="none"/>
          <w:lang w:val="en-US" w:eastAsia="zh-CN"/>
        </w:rPr>
        <w:t>分年度补偿款、</w:t>
      </w:r>
      <w:r>
        <w:rPr>
          <w:rFonts w:ascii="仿宋_GB2312" w:hAnsi="宋体" w:eastAsia="仿宋_GB2312" w:cs="仿宋_GB2312"/>
          <w:b w:val="0"/>
          <w:bCs w:val="0"/>
          <w:color w:val="000000"/>
          <w:sz w:val="31"/>
          <w:szCs w:val="31"/>
          <w:highlight w:val="none"/>
        </w:rPr>
        <w:t>移民搬迁补偿、住房安置补偿、评估费、测绘费、垃圾清运费、生态环境损失补偿和因矿区移民产生的工作经费及其他所有相关费用的支出。</w:t>
      </w:r>
      <w:r>
        <w:rPr>
          <w:rFonts w:hint="eastAsia" w:ascii="仿宋_GB2312" w:hAnsi="宋体" w:eastAsia="仿宋_GB2312" w:cs="仿宋_GB2312"/>
          <w:b w:val="0"/>
          <w:bCs w:val="0"/>
          <w:color w:val="000000"/>
          <w:sz w:val="31"/>
          <w:szCs w:val="31"/>
          <w:highlight w:val="none"/>
          <w:lang w:val="en-US" w:eastAsia="zh-CN"/>
        </w:rPr>
        <w:t>预付资金由上海庙镇人民政府设立专户管理，审计部门都使用情况进行审计，并向旗工作领导小组报告。</w:t>
      </w:r>
      <w:r>
        <w:rPr>
          <w:rFonts w:ascii="仿宋_GB2312" w:hAnsi="宋体" w:eastAsia="仿宋_GB2312" w:cs="仿宋_GB2312"/>
          <w:b w:val="0"/>
          <w:bCs w:val="0"/>
          <w:color w:val="000000"/>
          <w:sz w:val="31"/>
          <w:szCs w:val="31"/>
          <w:highlight w:val="none"/>
        </w:rPr>
        <w:t>如煤炭企业不据实按时支付，应承担由此而造成的一切后果和损失。</w:t>
      </w:r>
      <w:r>
        <w:rPr>
          <w:rFonts w:ascii="仿宋" w:hAnsi="仿宋" w:eastAsia="仿宋" w:cs="仿宋"/>
          <w:color w:val="000000"/>
          <w:spacing w:val="-6"/>
          <w:sz w:val="32"/>
          <w:szCs w:val="32"/>
          <w:highlight w:val="none"/>
        </w:rPr>
        <w:t>矿区塌陷区搬迁补偿安置工作领导小组</w:t>
      </w:r>
      <w:r>
        <w:rPr>
          <w:rFonts w:hint="eastAsia" w:ascii="仿宋" w:hAnsi="仿宋" w:eastAsia="仿宋" w:cs="仿宋"/>
          <w:color w:val="000000"/>
          <w:spacing w:val="-6"/>
          <w:sz w:val="32"/>
          <w:szCs w:val="32"/>
          <w:highlight w:val="none"/>
          <w:lang w:val="en-US" w:eastAsia="zh-CN"/>
        </w:rPr>
        <w:t>按年度依据实际情况</w:t>
      </w:r>
      <w:r>
        <w:rPr>
          <w:rFonts w:ascii="仿宋" w:hAnsi="仿宋" w:eastAsia="仿宋" w:cs="仿宋"/>
          <w:color w:val="000000"/>
          <w:spacing w:val="-6"/>
          <w:sz w:val="32"/>
          <w:szCs w:val="32"/>
          <w:highlight w:val="none"/>
        </w:rPr>
        <w:t>和企业进行决算，</w:t>
      </w:r>
      <w:r>
        <w:rPr>
          <w:rFonts w:hint="eastAsia" w:ascii="仿宋" w:hAnsi="仿宋" w:eastAsia="仿宋" w:cs="仿宋"/>
          <w:color w:val="000000"/>
          <w:spacing w:val="-6"/>
          <w:sz w:val="32"/>
          <w:szCs w:val="32"/>
          <w:highlight w:val="none"/>
          <w:lang w:val="en-US" w:eastAsia="zh-CN"/>
        </w:rPr>
        <w:t>如当年度有结余资金，直接转为下一年度预付资金。</w:t>
      </w:r>
    </w:p>
    <w:p w14:paraId="07FE86C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jc w:val="both"/>
        <w:textAlignment w:val="baseline"/>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三</w:t>
      </w:r>
      <w:r>
        <w:rPr>
          <w:rFonts w:hint="default" w:ascii="Times New Roman" w:hAnsi="Times New Roman" w:eastAsia="仿宋_GB2312" w:cs="Times New Roman"/>
          <w:color w:val="000000"/>
          <w:sz w:val="32"/>
          <w:szCs w:val="32"/>
          <w:highlight w:val="none"/>
        </w:rPr>
        <w:t>）土地补偿公告发布后，应将土地补偿面积、用途、位置、补偿标准等情况以张贴公告和召开村民大会或村民代表大会的形式告知搬迁补偿对象</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同步</w:t>
      </w:r>
      <w:r>
        <w:rPr>
          <w:rFonts w:hint="default" w:ascii="Times New Roman" w:hAnsi="Times New Roman" w:eastAsia="仿宋_GB2312" w:cs="Times New Roman"/>
          <w:color w:val="000000"/>
          <w:sz w:val="32"/>
          <w:szCs w:val="32"/>
          <w:highlight w:val="none"/>
        </w:rPr>
        <w:t>对搬迁范围内的土地、地上附着物和房屋及附属设施进行</w:t>
      </w:r>
      <w:r>
        <w:rPr>
          <w:rFonts w:hint="default" w:ascii="Times New Roman" w:hAnsi="Times New Roman" w:eastAsia="仿宋_GB2312" w:cs="Times New Roman"/>
          <w:color w:val="000000"/>
          <w:sz w:val="32"/>
          <w:szCs w:val="32"/>
          <w:highlight w:val="none"/>
          <w:lang w:val="en-US" w:eastAsia="zh-CN"/>
        </w:rPr>
        <w:t>航拍及</w:t>
      </w:r>
      <w:r>
        <w:rPr>
          <w:rFonts w:hint="default" w:ascii="Times New Roman" w:hAnsi="Times New Roman" w:eastAsia="仿宋_GB2312" w:cs="Times New Roman"/>
          <w:color w:val="000000"/>
          <w:sz w:val="32"/>
          <w:szCs w:val="32"/>
          <w:highlight w:val="none"/>
        </w:rPr>
        <w:t>清点登记</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并由</w:t>
      </w:r>
      <w:r>
        <w:rPr>
          <w:rFonts w:hint="default" w:ascii="Times New Roman" w:hAnsi="Times New Roman" w:eastAsia="仿宋_GB2312" w:cs="Times New Roman"/>
          <w:color w:val="000000"/>
          <w:sz w:val="32"/>
          <w:szCs w:val="32"/>
          <w:highlight w:val="none"/>
          <w:lang w:eastAsia="zh-CN"/>
        </w:rPr>
        <w:t>具有资质的</w:t>
      </w:r>
      <w:r>
        <w:rPr>
          <w:rFonts w:hint="default" w:ascii="Times New Roman" w:hAnsi="Times New Roman" w:eastAsia="仿宋_GB2312" w:cs="Times New Roman"/>
          <w:color w:val="000000"/>
          <w:sz w:val="32"/>
          <w:szCs w:val="32"/>
          <w:highlight w:val="none"/>
          <w:lang w:val="en-US" w:eastAsia="zh-CN"/>
        </w:rPr>
        <w:t>第三方</w:t>
      </w:r>
      <w:r>
        <w:rPr>
          <w:rFonts w:hint="default" w:ascii="Times New Roman" w:hAnsi="Times New Roman" w:eastAsia="仿宋_GB2312" w:cs="Times New Roman"/>
          <w:color w:val="000000"/>
          <w:sz w:val="32"/>
          <w:szCs w:val="32"/>
          <w:highlight w:val="none"/>
          <w:lang w:eastAsia="zh-CN"/>
        </w:rPr>
        <w:t>机构出具测绘、评估报告。</w:t>
      </w:r>
      <w:r>
        <w:rPr>
          <w:rFonts w:hint="default" w:ascii="Times New Roman" w:hAnsi="Times New Roman" w:eastAsia="仿宋_GB2312" w:cs="Times New Roman"/>
          <w:color w:val="000000"/>
          <w:sz w:val="32"/>
          <w:szCs w:val="32"/>
          <w:highlight w:val="none"/>
        </w:rPr>
        <w:t>发布公告之日起严禁在搬迁区域内抢建、抢栽、抢种，如有上述行为，一律不予补偿</w:t>
      </w:r>
      <w:r>
        <w:rPr>
          <w:rFonts w:hint="eastAsia" w:ascii="Times New Roman" w:hAnsi="Times New Roman" w:eastAsia="仿宋_GB2312" w:cs="Times New Roman"/>
          <w:color w:val="000000"/>
          <w:sz w:val="32"/>
          <w:szCs w:val="32"/>
          <w:highlight w:val="none"/>
          <w:lang w:eastAsia="zh-CN"/>
        </w:rPr>
        <w:t>。</w:t>
      </w:r>
    </w:p>
    <w:p w14:paraId="0CB6E30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四</w:t>
      </w:r>
      <w:r>
        <w:rPr>
          <w:rFonts w:hint="default" w:ascii="Times New Roman" w:hAnsi="Times New Roman" w:eastAsia="仿宋_GB2312" w:cs="Times New Roman"/>
          <w:color w:val="000000"/>
          <w:sz w:val="32"/>
          <w:szCs w:val="32"/>
          <w:highlight w:val="none"/>
        </w:rPr>
        <w:t>）搬迁补偿工作组对财产明细</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补偿标准及金额分别进行</w:t>
      </w:r>
      <w:r>
        <w:rPr>
          <w:rFonts w:hint="default" w:ascii="Times New Roman" w:hAnsi="Times New Roman" w:eastAsia="仿宋_GB2312" w:cs="Times New Roman"/>
          <w:color w:val="000000"/>
          <w:sz w:val="32"/>
          <w:szCs w:val="32"/>
          <w:highlight w:val="none"/>
        </w:rPr>
        <w:t>两次公示</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第1次公示内容为土地、附着物、房屋及附属设施清点基础数据；第2次公示内容为经核对</w:t>
      </w:r>
      <w:r>
        <w:rPr>
          <w:rFonts w:hint="default" w:ascii="Times New Roman" w:hAnsi="Times New Roman" w:eastAsia="仿宋_GB2312" w:cs="Times New Roman"/>
          <w:color w:val="000000"/>
          <w:sz w:val="32"/>
          <w:szCs w:val="32"/>
          <w:highlight w:val="none"/>
          <w:lang w:val="en-US" w:eastAsia="zh-CN"/>
        </w:rPr>
        <w:t>或在第一次公示期内提出异议并经核查</w:t>
      </w:r>
      <w:r>
        <w:rPr>
          <w:rFonts w:hint="default" w:ascii="Times New Roman" w:hAnsi="Times New Roman" w:eastAsia="仿宋_GB2312" w:cs="Times New Roman"/>
          <w:color w:val="000000"/>
          <w:sz w:val="32"/>
          <w:szCs w:val="32"/>
          <w:highlight w:val="none"/>
        </w:rPr>
        <w:t>后的基础数据、补偿标准及金额，公示期均为</w:t>
      </w:r>
      <w:r>
        <w:rPr>
          <w:rFonts w:hint="default" w:ascii="Times New Roman" w:hAnsi="Times New Roman" w:eastAsia="仿宋_GB2312" w:cs="Times New Roman"/>
          <w:color w:val="000000"/>
          <w:sz w:val="32"/>
          <w:szCs w:val="32"/>
          <w:highlight w:val="none"/>
          <w:lang w:val="en-US" w:eastAsia="zh-CN"/>
        </w:rPr>
        <w:t>7个工作日；第1次公示期内提出的异议经审查予以明确答复后，第2次公示期内提出同一类问题，不再予以受理。</w:t>
      </w:r>
      <w:r>
        <w:rPr>
          <w:rFonts w:hint="default" w:ascii="Times New Roman" w:hAnsi="Times New Roman" w:eastAsia="仿宋_GB2312" w:cs="Times New Roman"/>
          <w:color w:val="000000"/>
          <w:sz w:val="32"/>
          <w:szCs w:val="32"/>
          <w:highlight w:val="none"/>
        </w:rPr>
        <w:t>如对公示内容有异议，应当在公示期内向搬迁补偿</w:t>
      </w:r>
      <w:r>
        <w:rPr>
          <w:rFonts w:hint="eastAsia" w:ascii="Times New Roman" w:hAnsi="Times New Roman" w:eastAsia="仿宋_GB2312" w:cs="Times New Roman"/>
          <w:color w:val="000000"/>
          <w:sz w:val="32"/>
          <w:szCs w:val="32"/>
          <w:highlight w:val="none"/>
          <w:lang w:val="en-US" w:eastAsia="zh-CN"/>
        </w:rPr>
        <w:t>办公室以书面形式</w:t>
      </w:r>
      <w:r>
        <w:rPr>
          <w:rFonts w:hint="default" w:ascii="Times New Roman" w:hAnsi="Times New Roman" w:eastAsia="仿宋_GB2312" w:cs="Times New Roman"/>
          <w:color w:val="000000"/>
          <w:sz w:val="32"/>
          <w:szCs w:val="32"/>
          <w:highlight w:val="none"/>
        </w:rPr>
        <w:t>反映有关情况和问题，并由搬迁补偿</w:t>
      </w:r>
      <w:r>
        <w:rPr>
          <w:rFonts w:hint="eastAsia" w:ascii="Times New Roman" w:hAnsi="Times New Roman" w:eastAsia="仿宋_GB2312" w:cs="Times New Roman"/>
          <w:color w:val="000000"/>
          <w:sz w:val="32"/>
          <w:szCs w:val="32"/>
          <w:highlight w:val="none"/>
          <w:lang w:val="en-US" w:eastAsia="zh-CN"/>
        </w:rPr>
        <w:t>办公室</w:t>
      </w:r>
      <w:r>
        <w:rPr>
          <w:rFonts w:hint="default" w:ascii="Times New Roman" w:hAnsi="Times New Roman" w:eastAsia="仿宋_GB2312" w:cs="Times New Roman"/>
          <w:color w:val="000000"/>
          <w:sz w:val="32"/>
          <w:szCs w:val="32"/>
          <w:highlight w:val="none"/>
        </w:rPr>
        <w:t>及时作出处理</w:t>
      </w:r>
      <w:r>
        <w:rPr>
          <w:rFonts w:hint="eastAsia" w:ascii="Times New Roman" w:hAnsi="Times New Roman" w:eastAsia="仿宋_GB2312" w:cs="Times New Roman"/>
          <w:color w:val="000000"/>
          <w:sz w:val="32"/>
          <w:szCs w:val="32"/>
          <w:highlight w:val="none"/>
          <w:lang w:val="en-US" w:eastAsia="zh-CN"/>
        </w:rPr>
        <w:t>和回复</w:t>
      </w:r>
      <w:r>
        <w:rPr>
          <w:rFonts w:hint="default" w:ascii="Times New Roman" w:hAnsi="Times New Roman" w:eastAsia="仿宋_GB2312" w:cs="Times New Roman"/>
          <w:color w:val="000000"/>
          <w:sz w:val="32"/>
          <w:szCs w:val="32"/>
          <w:highlight w:val="none"/>
        </w:rPr>
        <w:t>。</w:t>
      </w:r>
    </w:p>
    <w:p w14:paraId="5A78099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五</w:t>
      </w:r>
      <w:r>
        <w:rPr>
          <w:rFonts w:hint="default" w:ascii="Times New Roman" w:hAnsi="Times New Roman" w:eastAsia="仿宋_GB2312" w:cs="Times New Roman"/>
          <w:color w:val="000000"/>
          <w:sz w:val="32"/>
          <w:szCs w:val="32"/>
          <w:highlight w:val="none"/>
        </w:rPr>
        <w:t>）经公示无异议后，由</w:t>
      </w:r>
      <w:r>
        <w:rPr>
          <w:rFonts w:hint="eastAsia" w:ascii="Times New Roman" w:hAnsi="Times New Roman" w:eastAsia="仿宋_GB2312" w:cs="Times New Roman"/>
          <w:color w:val="000000"/>
          <w:sz w:val="32"/>
          <w:szCs w:val="32"/>
          <w:highlight w:val="none"/>
          <w:lang w:val="en-US" w:eastAsia="zh-CN"/>
        </w:rPr>
        <w:t>负有补偿义务的</w:t>
      </w:r>
      <w:r>
        <w:rPr>
          <w:rFonts w:hint="default" w:ascii="Times New Roman" w:hAnsi="Times New Roman" w:eastAsia="仿宋_GB2312" w:cs="Times New Roman"/>
          <w:color w:val="000000"/>
          <w:sz w:val="32"/>
          <w:szCs w:val="32"/>
          <w:highlight w:val="none"/>
        </w:rPr>
        <w:t>煤炭企业与搬迁农牧民、</w:t>
      </w:r>
      <w:r>
        <w:rPr>
          <w:rFonts w:hint="default" w:ascii="Times New Roman" w:hAnsi="Times New Roman" w:eastAsia="仿宋_GB2312" w:cs="Times New Roman"/>
          <w:color w:val="000000"/>
          <w:sz w:val="32"/>
          <w:szCs w:val="32"/>
          <w:highlight w:val="none"/>
          <w:lang w:val="en-US" w:eastAsia="zh-CN"/>
        </w:rPr>
        <w:t>相关嘎查村委员会及</w:t>
      </w:r>
      <w:r>
        <w:rPr>
          <w:rFonts w:hint="default" w:ascii="Times New Roman" w:hAnsi="Times New Roman" w:eastAsia="仿宋_GB2312" w:cs="Times New Roman"/>
          <w:color w:val="000000"/>
          <w:sz w:val="32"/>
          <w:szCs w:val="32"/>
          <w:highlight w:val="none"/>
        </w:rPr>
        <w:t>镇</w:t>
      </w:r>
      <w:r>
        <w:rPr>
          <w:rFonts w:hint="default" w:ascii="Times New Roman" w:hAnsi="Times New Roman" w:eastAsia="仿宋_GB2312" w:cs="Times New Roman"/>
          <w:color w:val="000000"/>
          <w:sz w:val="32"/>
          <w:szCs w:val="32"/>
          <w:highlight w:val="none"/>
          <w:lang w:val="en-US" w:eastAsia="zh-CN"/>
        </w:rPr>
        <w:t>人民</w:t>
      </w:r>
      <w:r>
        <w:rPr>
          <w:rFonts w:hint="default" w:ascii="Times New Roman" w:hAnsi="Times New Roman" w:eastAsia="仿宋_GB2312" w:cs="Times New Roman"/>
          <w:color w:val="000000"/>
          <w:sz w:val="32"/>
          <w:szCs w:val="32"/>
          <w:highlight w:val="none"/>
        </w:rPr>
        <w:t>政府共同签订矿区移民安置补偿协议。</w:t>
      </w:r>
    </w:p>
    <w:p w14:paraId="1BAF8E8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六</w:t>
      </w:r>
      <w:r>
        <w:rPr>
          <w:rFonts w:hint="default" w:ascii="Times New Roman" w:hAnsi="Times New Roman" w:eastAsia="仿宋_GB2312" w:cs="Times New Roman"/>
          <w:color w:val="000000"/>
          <w:sz w:val="32"/>
          <w:szCs w:val="32"/>
          <w:highlight w:val="none"/>
        </w:rPr>
        <w:t>）补偿款由</w:t>
      </w:r>
      <w:r>
        <w:rPr>
          <w:rFonts w:hint="eastAsia" w:ascii="Times New Roman" w:hAnsi="Times New Roman" w:eastAsia="仿宋_GB2312" w:cs="Times New Roman"/>
          <w:color w:val="000000"/>
          <w:sz w:val="32"/>
          <w:szCs w:val="32"/>
          <w:highlight w:val="none"/>
          <w:lang w:val="en-US" w:eastAsia="zh-CN"/>
        </w:rPr>
        <w:t>上海庙</w:t>
      </w:r>
      <w:r>
        <w:rPr>
          <w:rFonts w:hint="default" w:ascii="Times New Roman" w:hAnsi="Times New Roman" w:eastAsia="仿宋_GB2312" w:cs="Times New Roman"/>
          <w:color w:val="000000"/>
          <w:sz w:val="32"/>
          <w:szCs w:val="32"/>
          <w:highlight w:val="none"/>
        </w:rPr>
        <w:t>镇</w:t>
      </w:r>
      <w:r>
        <w:rPr>
          <w:rFonts w:hint="default" w:ascii="Times New Roman" w:hAnsi="Times New Roman" w:eastAsia="仿宋_GB2312" w:cs="Times New Roman"/>
          <w:color w:val="000000"/>
          <w:sz w:val="32"/>
          <w:szCs w:val="32"/>
          <w:highlight w:val="none"/>
          <w:lang w:val="en-US" w:eastAsia="zh-CN"/>
        </w:rPr>
        <w:t>人民</w:t>
      </w:r>
      <w:r>
        <w:rPr>
          <w:rFonts w:hint="default" w:ascii="Times New Roman" w:hAnsi="Times New Roman" w:eastAsia="仿宋_GB2312" w:cs="Times New Roman"/>
          <w:color w:val="000000"/>
          <w:sz w:val="32"/>
          <w:szCs w:val="32"/>
          <w:highlight w:val="none"/>
        </w:rPr>
        <w:t>政府</w:t>
      </w:r>
      <w:r>
        <w:rPr>
          <w:rFonts w:hint="eastAsia" w:ascii="Times New Roman" w:hAnsi="Times New Roman" w:eastAsia="仿宋_GB2312" w:cs="Times New Roman"/>
          <w:color w:val="000000"/>
          <w:sz w:val="32"/>
          <w:szCs w:val="32"/>
          <w:highlight w:val="none"/>
          <w:lang w:val="en-US" w:eastAsia="zh-CN"/>
        </w:rPr>
        <w:t>按照协议约定进行支付。</w:t>
      </w:r>
    </w:p>
    <w:p w14:paraId="71F7D16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eastAsia" w:ascii="Times New Roman" w:hAnsi="Times New Roman" w:eastAsia="黑体" w:cs="Times New Roman"/>
          <w:color w:val="000000"/>
          <w:sz w:val="32"/>
          <w:szCs w:val="32"/>
          <w:highlight w:val="none"/>
          <w:lang w:val="en-US" w:eastAsia="zh-CN"/>
        </w:rPr>
        <w:t>四</w:t>
      </w:r>
      <w:r>
        <w:rPr>
          <w:rFonts w:hint="default" w:ascii="Times New Roman" w:hAnsi="Times New Roman" w:eastAsia="黑体" w:cs="Times New Roman"/>
          <w:color w:val="000000"/>
          <w:sz w:val="32"/>
          <w:szCs w:val="32"/>
          <w:highlight w:val="none"/>
        </w:rPr>
        <w:t>章</w:t>
      </w:r>
      <w:r>
        <w:rPr>
          <w:rFonts w:hint="default" w:ascii="Times New Roman" w:hAnsi="Times New Roman" w:eastAsia="黑体" w:cs="Times New Roman"/>
          <w:color w:val="000000"/>
          <w:sz w:val="32"/>
          <w:szCs w:val="32"/>
          <w:highlight w:val="none"/>
          <w:lang w:val="en-US" w:eastAsia="zh-CN"/>
        </w:rPr>
        <w:t xml:space="preserve">  搬迁</w:t>
      </w:r>
      <w:r>
        <w:rPr>
          <w:rFonts w:hint="default" w:ascii="Times New Roman" w:hAnsi="Times New Roman" w:eastAsia="黑体" w:cs="Times New Roman"/>
          <w:color w:val="000000"/>
          <w:sz w:val="32"/>
          <w:szCs w:val="32"/>
          <w:highlight w:val="none"/>
          <w:lang w:val="en-US"/>
        </w:rPr>
        <w:t>补偿</w:t>
      </w:r>
    </w:p>
    <w:p w14:paraId="4A4506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十</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val="en-US" w:eastAsia="zh-CN"/>
        </w:rPr>
        <w:t>财产补偿。</w:t>
      </w:r>
      <w:r>
        <w:rPr>
          <w:rFonts w:hint="default" w:ascii="Times New Roman" w:hAnsi="Times New Roman" w:eastAsia="仿宋_GB2312" w:cs="Times New Roman"/>
          <w:color w:val="000000"/>
          <w:sz w:val="32"/>
          <w:szCs w:val="32"/>
          <w:highlight w:val="none"/>
        </w:rPr>
        <w:t>矿区塌陷区搬迁安置补偿对象的房屋及附属设施</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地上附着物给予</w:t>
      </w:r>
      <w:r>
        <w:rPr>
          <w:rFonts w:hint="default" w:ascii="Times New Roman" w:hAnsi="Times New Roman" w:eastAsia="仿宋_GB2312" w:cs="Times New Roman"/>
          <w:color w:val="000000"/>
          <w:sz w:val="32"/>
          <w:szCs w:val="32"/>
          <w:highlight w:val="none"/>
        </w:rPr>
        <w:t>一次性补偿</w:t>
      </w:r>
      <w:r>
        <w:rPr>
          <w:rFonts w:hint="default" w:ascii="Times New Roman" w:hAnsi="Times New Roman" w:eastAsia="仿宋_GB2312" w:cs="Times New Roman"/>
          <w:color w:val="000000"/>
          <w:sz w:val="32"/>
          <w:szCs w:val="32"/>
          <w:highlight w:val="none"/>
          <w:lang w:eastAsia="zh-CN"/>
        </w:rPr>
        <w:t>。未将承包地交回发包方</w:t>
      </w:r>
      <w:r>
        <w:rPr>
          <w:rFonts w:hint="default" w:ascii="Times New Roman" w:hAnsi="Times New Roman" w:eastAsia="仿宋_GB2312" w:cs="Times New Roman"/>
          <w:color w:val="000000"/>
          <w:sz w:val="32"/>
          <w:szCs w:val="32"/>
          <w:highlight w:val="none"/>
        </w:rPr>
        <w:t>的搬迁</w:t>
      </w:r>
      <w:r>
        <w:rPr>
          <w:rFonts w:hint="default" w:ascii="Times New Roman" w:hAnsi="Times New Roman" w:eastAsia="仿宋_GB2312" w:cs="Times New Roman"/>
          <w:color w:val="000000"/>
          <w:sz w:val="32"/>
          <w:szCs w:val="32"/>
          <w:highlight w:val="none"/>
          <w:lang w:val="en-US" w:eastAsia="zh-CN"/>
        </w:rPr>
        <w:t>户</w:t>
      </w:r>
      <w:r>
        <w:rPr>
          <w:rFonts w:hint="default" w:ascii="Times New Roman" w:hAnsi="Times New Roman" w:eastAsia="仿宋_GB2312" w:cs="Times New Roman"/>
          <w:color w:val="000000"/>
          <w:sz w:val="32"/>
          <w:szCs w:val="32"/>
          <w:highlight w:val="none"/>
        </w:rPr>
        <w:t>草牧场承包经营权不变，地上附着物按照</w:t>
      </w:r>
      <w:r>
        <w:rPr>
          <w:rFonts w:hint="default" w:ascii="Times New Roman" w:hAnsi="Times New Roman" w:eastAsia="仿宋_GB2312" w:cs="Times New Roman"/>
          <w:color w:val="000000"/>
          <w:sz w:val="32"/>
          <w:szCs w:val="32"/>
          <w:highlight w:val="none"/>
          <w:lang w:val="en-US" w:eastAsia="zh-CN"/>
        </w:rPr>
        <w:t>本办法（附件1、附件2）的标准给予</w:t>
      </w:r>
      <w:r>
        <w:rPr>
          <w:rFonts w:hint="default" w:ascii="Times New Roman" w:hAnsi="Times New Roman" w:eastAsia="仿宋_GB2312" w:cs="Times New Roman"/>
          <w:color w:val="000000"/>
          <w:sz w:val="32"/>
          <w:szCs w:val="32"/>
          <w:highlight w:val="none"/>
        </w:rPr>
        <w:t>补偿。</w:t>
      </w:r>
      <w:r>
        <w:rPr>
          <w:rFonts w:hint="default" w:ascii="Times New Roman" w:hAnsi="Times New Roman" w:eastAsia="仿宋_GB2312" w:cs="Times New Roman"/>
          <w:color w:val="000000"/>
          <w:sz w:val="32"/>
          <w:szCs w:val="32"/>
          <w:highlight w:val="none"/>
          <w:lang w:eastAsia="zh-CN"/>
        </w:rPr>
        <w:t>自愿将承包地交回发包方的搬迁</w:t>
      </w:r>
      <w:r>
        <w:rPr>
          <w:rFonts w:hint="default" w:ascii="Times New Roman" w:hAnsi="Times New Roman" w:eastAsia="仿宋_GB2312" w:cs="Times New Roman"/>
          <w:color w:val="000000"/>
          <w:sz w:val="32"/>
          <w:szCs w:val="32"/>
          <w:highlight w:val="none"/>
          <w:lang w:val="en-US" w:eastAsia="zh-CN"/>
        </w:rPr>
        <w:t>户按照</w:t>
      </w:r>
      <w:r>
        <w:rPr>
          <w:rFonts w:hint="eastAsia" w:ascii="Times New Roman" w:hAnsi="Times New Roman" w:eastAsia="仿宋_GB2312" w:cs="Times New Roman"/>
          <w:color w:val="000000"/>
          <w:sz w:val="32"/>
          <w:szCs w:val="32"/>
          <w:highlight w:val="none"/>
          <w:lang w:val="en-US" w:eastAsia="zh-CN"/>
        </w:rPr>
        <w:t>现行的</w:t>
      </w:r>
      <w:r>
        <w:rPr>
          <w:rFonts w:hint="default" w:ascii="Times New Roman" w:hAnsi="Times New Roman" w:eastAsia="仿宋_GB2312" w:cs="Times New Roman"/>
          <w:color w:val="000000"/>
          <w:sz w:val="32"/>
          <w:szCs w:val="32"/>
          <w:highlight w:val="none"/>
          <w:lang w:val="en-US" w:eastAsia="zh-CN"/>
        </w:rPr>
        <w:t>征收地上附着物补偿标准给予补偿</w:t>
      </w:r>
      <w:r>
        <w:rPr>
          <w:rFonts w:hint="eastAsia" w:ascii="Times New Roman" w:hAnsi="Times New Roman" w:eastAsia="仿宋_GB2312" w:cs="Times New Roman"/>
          <w:color w:val="000000"/>
          <w:sz w:val="32"/>
          <w:szCs w:val="32"/>
          <w:highlight w:val="none"/>
          <w:lang w:val="en-US" w:eastAsia="zh-CN"/>
        </w:rPr>
        <w:t>，补偿后所有附着物由煤炭企业进行处置</w:t>
      </w:r>
      <w:r>
        <w:rPr>
          <w:rFonts w:hint="default" w:ascii="Times New Roman" w:hAnsi="Times New Roman" w:eastAsia="仿宋_GB2312" w:cs="Times New Roman"/>
          <w:color w:val="000000"/>
          <w:sz w:val="32"/>
          <w:szCs w:val="32"/>
          <w:highlight w:val="none"/>
          <w:lang w:val="en-US" w:eastAsia="zh-CN"/>
        </w:rPr>
        <w:t>。</w:t>
      </w:r>
    </w:p>
    <w:p w14:paraId="366FDC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十</w:t>
      </w:r>
      <w:r>
        <w:rPr>
          <w:rFonts w:hint="eastAsia" w:ascii="Times New Roman" w:hAnsi="Times New Roman" w:eastAsia="黑体" w:cs="Times New Roman"/>
          <w:color w:val="000000"/>
          <w:sz w:val="32"/>
          <w:szCs w:val="32"/>
          <w:highlight w:val="none"/>
          <w:lang w:val="en-US" w:eastAsia="zh-CN"/>
        </w:rPr>
        <w:t>一</w:t>
      </w:r>
      <w:r>
        <w:rPr>
          <w:rFonts w:hint="default" w:ascii="Times New Roman" w:hAnsi="Times New Roman" w:eastAsia="黑体" w:cs="Times New Roman"/>
          <w:color w:val="000000"/>
          <w:sz w:val="32"/>
          <w:szCs w:val="32"/>
          <w:highlight w:val="none"/>
        </w:rPr>
        <w:t>条</w:t>
      </w:r>
      <w:r>
        <w:rPr>
          <w:rFonts w:hint="default" w:ascii="Times New Roman" w:hAnsi="Times New Roman" w:eastAsia="黑体"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lang w:val="en-US" w:eastAsia="zh-CN"/>
        </w:rPr>
        <w:t>土地塌陷补偿以户为单位，</w:t>
      </w:r>
      <w:r>
        <w:rPr>
          <w:rFonts w:hint="eastAsia" w:ascii="Times New Roman" w:hAnsi="Times New Roman" w:eastAsia="仿宋_GB2312" w:cs="Times New Roman"/>
          <w:color w:val="000000"/>
          <w:sz w:val="32"/>
          <w:szCs w:val="32"/>
          <w:highlight w:val="none"/>
          <w:lang w:val="en-US" w:eastAsia="zh-CN"/>
        </w:rPr>
        <w:t>分两种情形，对应</w:t>
      </w:r>
      <w:r>
        <w:rPr>
          <w:rFonts w:hint="default" w:ascii="Times New Roman" w:hAnsi="Times New Roman" w:eastAsia="仿宋_GB2312" w:cs="Times New Roman"/>
          <w:color w:val="000000"/>
          <w:sz w:val="32"/>
          <w:szCs w:val="32"/>
          <w:highlight w:val="none"/>
        </w:rPr>
        <w:t>选择一种</w:t>
      </w:r>
      <w:r>
        <w:rPr>
          <w:rFonts w:hint="default" w:ascii="Times New Roman" w:hAnsi="Times New Roman" w:eastAsia="仿宋_GB2312" w:cs="Times New Roman"/>
          <w:color w:val="000000"/>
          <w:sz w:val="32"/>
          <w:szCs w:val="32"/>
          <w:highlight w:val="none"/>
          <w:lang w:val="en-US" w:eastAsia="zh-CN"/>
        </w:rPr>
        <w:t>进行</w:t>
      </w:r>
      <w:r>
        <w:rPr>
          <w:rFonts w:hint="default" w:ascii="Times New Roman" w:hAnsi="Times New Roman" w:eastAsia="仿宋_GB2312" w:cs="Times New Roman"/>
          <w:color w:val="000000"/>
          <w:sz w:val="32"/>
          <w:szCs w:val="32"/>
          <w:highlight w:val="none"/>
        </w:rPr>
        <w:t>补偿</w:t>
      </w:r>
      <w:r>
        <w:rPr>
          <w:rFonts w:hint="eastAsia" w:ascii="Times New Roman" w:hAnsi="Times New Roman" w:eastAsia="仿宋_GB2312" w:cs="Times New Roman"/>
          <w:color w:val="000000"/>
          <w:sz w:val="32"/>
          <w:szCs w:val="32"/>
          <w:highlight w:val="none"/>
          <w:lang w:eastAsia="zh-CN"/>
        </w:rPr>
        <w:t>：</w:t>
      </w:r>
    </w:p>
    <w:p w14:paraId="748A39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lang w:eastAsia="zh-CN"/>
        </w:rPr>
        <w:t>（</w:t>
      </w:r>
      <w:r>
        <w:rPr>
          <w:rFonts w:hint="default" w:ascii="Times New Roman" w:hAnsi="Times New Roman" w:eastAsia="楷体_GB2312" w:cs="Times New Roman"/>
          <w:color w:val="000000"/>
          <w:sz w:val="32"/>
          <w:szCs w:val="32"/>
          <w:highlight w:val="none"/>
          <w:lang w:val="en-US" w:eastAsia="zh-CN"/>
        </w:rPr>
        <w:t>一</w:t>
      </w:r>
      <w:r>
        <w:rPr>
          <w:rFonts w:hint="default" w:ascii="Times New Roman" w:hAnsi="Times New Roman" w:eastAsia="楷体_GB2312" w:cs="Times New Roman"/>
          <w:color w:val="000000"/>
          <w:sz w:val="32"/>
          <w:szCs w:val="32"/>
          <w:highlight w:val="none"/>
          <w:lang w:eastAsia="zh-CN"/>
        </w:rPr>
        <w:t>）</w:t>
      </w:r>
      <w:r>
        <w:rPr>
          <w:rFonts w:hint="default" w:ascii="Times New Roman" w:hAnsi="Times New Roman" w:eastAsia="楷体_GB2312" w:cs="Times New Roman"/>
          <w:color w:val="000000"/>
          <w:sz w:val="32"/>
          <w:szCs w:val="32"/>
          <w:highlight w:val="none"/>
        </w:rPr>
        <w:t>未将承包地交回发包方的搬迁补偿安置对象</w:t>
      </w:r>
    </w:p>
    <w:p w14:paraId="7AB901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草牧场每亩每年补贴</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0元，以</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0元为基准每年提高1元</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补贴面积以草原证登记面积为准，补偿年限截止二轮草牧场承包期满</w:t>
      </w:r>
      <w:r>
        <w:rPr>
          <w:rFonts w:hint="default" w:ascii="Times New Roman" w:hAnsi="Times New Roman" w:eastAsia="仿宋_GB2312" w:cs="Times New Roman"/>
          <w:color w:val="000000"/>
          <w:sz w:val="32"/>
          <w:szCs w:val="32"/>
          <w:highlight w:val="none"/>
          <w:lang w:val="en-US" w:eastAsia="zh-CN"/>
        </w:rPr>
        <w:t>。</w:t>
      </w:r>
    </w:p>
    <w:p w14:paraId="44690D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因煤炭开采影响收益的水浇地，放弃耕种的每亩每年收益补偿</w:t>
      </w:r>
      <w:r>
        <w:rPr>
          <w:rFonts w:hint="default" w:ascii="Times New Roman" w:hAnsi="Times New Roman" w:eastAsia="仿宋_GB2312" w:cs="Times New Roman"/>
          <w:color w:val="000000"/>
          <w:sz w:val="32"/>
          <w:szCs w:val="32"/>
          <w:highlight w:val="none"/>
          <w:lang w:val="en-US" w:eastAsia="zh-CN"/>
        </w:rPr>
        <w:t>600</w:t>
      </w:r>
      <w:r>
        <w:rPr>
          <w:rFonts w:hint="default" w:ascii="Times New Roman" w:hAnsi="Times New Roman" w:eastAsia="仿宋_GB2312" w:cs="Times New Roman"/>
          <w:color w:val="000000"/>
          <w:sz w:val="32"/>
          <w:szCs w:val="32"/>
          <w:highlight w:val="none"/>
        </w:rPr>
        <w:t>元，以600元为基准每亩每年提高30元</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补偿面积以</w:t>
      </w:r>
      <w:r>
        <w:rPr>
          <w:rFonts w:hint="default" w:ascii="Times New Roman" w:hAnsi="Times New Roman" w:eastAsia="仿宋_GB2312" w:cs="Times New Roman"/>
          <w:color w:val="000000"/>
          <w:sz w:val="32"/>
          <w:szCs w:val="32"/>
          <w:highlight w:val="none"/>
          <w:lang w:val="en-US" w:eastAsia="zh-CN"/>
        </w:rPr>
        <w:t>已确权水浇地和依法审批的人工草地</w:t>
      </w:r>
      <w:r>
        <w:rPr>
          <w:rFonts w:hint="default" w:ascii="Times New Roman" w:hAnsi="Times New Roman" w:eastAsia="仿宋_GB2312" w:cs="Times New Roman"/>
          <w:color w:val="000000"/>
          <w:sz w:val="32"/>
          <w:szCs w:val="32"/>
          <w:highlight w:val="none"/>
        </w:rPr>
        <w:t>面积为准，补偿年限截止二轮草牧场承包期满。</w:t>
      </w:r>
      <w:r>
        <w:rPr>
          <w:rFonts w:hint="eastAsia" w:ascii="Times New Roman" w:hAnsi="Times New Roman" w:eastAsia="仿宋_GB2312" w:cs="Times New Roman"/>
          <w:color w:val="000000"/>
          <w:sz w:val="32"/>
          <w:szCs w:val="32"/>
          <w:highlight w:val="none"/>
          <w:lang w:val="en-US" w:eastAsia="zh-CN"/>
        </w:rPr>
        <w:t>若发现继续从事放牧等经营草牧场行为，则扣发补贴。</w:t>
      </w:r>
    </w:p>
    <w:p w14:paraId="7BD10E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lang w:eastAsia="zh-CN"/>
        </w:rPr>
        <w:t>（</w:t>
      </w:r>
      <w:r>
        <w:rPr>
          <w:rFonts w:hint="default" w:ascii="Times New Roman" w:hAnsi="Times New Roman" w:eastAsia="楷体_GB2312" w:cs="Times New Roman"/>
          <w:color w:val="000000"/>
          <w:sz w:val="32"/>
          <w:szCs w:val="32"/>
          <w:highlight w:val="none"/>
          <w:lang w:val="en-US" w:eastAsia="zh-CN"/>
        </w:rPr>
        <w:t>二</w:t>
      </w:r>
      <w:r>
        <w:rPr>
          <w:rFonts w:hint="default" w:ascii="Times New Roman" w:hAnsi="Times New Roman" w:eastAsia="楷体_GB2312" w:cs="Times New Roman"/>
          <w:color w:val="000000"/>
          <w:sz w:val="32"/>
          <w:szCs w:val="32"/>
          <w:highlight w:val="none"/>
          <w:lang w:eastAsia="zh-CN"/>
        </w:rPr>
        <w:t>）</w:t>
      </w:r>
      <w:r>
        <w:rPr>
          <w:rFonts w:hint="default" w:ascii="Times New Roman" w:hAnsi="Times New Roman" w:eastAsia="楷体_GB2312" w:cs="Times New Roman"/>
          <w:color w:val="000000"/>
          <w:sz w:val="32"/>
          <w:szCs w:val="32"/>
          <w:highlight w:val="none"/>
        </w:rPr>
        <w:t>自愿将承包地交回发包方的搬迁补偿安置对象</w:t>
      </w:r>
    </w:p>
    <w:p w14:paraId="0500210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rPr>
        <w:t>草牧场、水浇地每亩一次性分别补偿</w:t>
      </w:r>
      <w:r>
        <w:rPr>
          <w:rFonts w:hint="eastAsia" w:ascii="Times New Roman" w:hAnsi="Times New Roman" w:eastAsia="仿宋_GB2312" w:cs="Times New Roman"/>
          <w:color w:val="000000"/>
          <w:sz w:val="32"/>
          <w:szCs w:val="32"/>
          <w:highlight w:val="none"/>
          <w:lang w:eastAsia="zh-CN"/>
        </w:rPr>
        <w:t>2</w:t>
      </w:r>
      <w:r>
        <w:rPr>
          <w:rFonts w:hint="default" w:ascii="Times New Roman" w:hAnsi="Times New Roman" w:eastAsia="仿宋_GB2312" w:cs="Times New Roman"/>
          <w:color w:val="000000"/>
          <w:sz w:val="32"/>
          <w:szCs w:val="32"/>
          <w:highlight w:val="none"/>
        </w:rPr>
        <w:t>00元、</w:t>
      </w:r>
      <w:r>
        <w:rPr>
          <w:rFonts w:hint="eastAsia" w:ascii="Times New Roman" w:hAnsi="Times New Roman" w:eastAsia="仿宋_GB2312" w:cs="Times New Roman"/>
          <w:color w:val="000000"/>
          <w:sz w:val="32"/>
          <w:szCs w:val="32"/>
          <w:highlight w:val="none"/>
          <w:lang w:eastAsia="zh-CN"/>
        </w:rPr>
        <w:t>1</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00元，地面附着物按本办法</w:t>
      </w:r>
      <w:r>
        <w:rPr>
          <w:rFonts w:hint="default" w:ascii="Times New Roman" w:hAnsi="Times New Roman" w:eastAsia="仿宋_GB2312" w:cs="Times New Roman"/>
          <w:color w:val="000000"/>
          <w:sz w:val="32"/>
          <w:szCs w:val="32"/>
          <w:highlight w:val="none"/>
          <w:lang w:val="en-US" w:eastAsia="zh-CN"/>
        </w:rPr>
        <w:t>第十条</w:t>
      </w:r>
      <w:r>
        <w:rPr>
          <w:rFonts w:hint="default" w:ascii="Times New Roman" w:hAnsi="Times New Roman" w:eastAsia="仿宋_GB2312" w:cs="Times New Roman"/>
          <w:color w:val="000000"/>
          <w:sz w:val="32"/>
          <w:szCs w:val="32"/>
          <w:highlight w:val="none"/>
        </w:rPr>
        <w:t>进行补偿。</w:t>
      </w:r>
    </w:p>
    <w:p w14:paraId="06887C52">
      <w:pPr>
        <w:keepNext w:val="0"/>
        <w:keepLines w:val="0"/>
        <w:pageBreakBefore w:val="0"/>
        <w:widowControl w:val="0"/>
        <w:kinsoku/>
        <w:wordWrap/>
        <w:overflowPunct/>
        <w:topLinePunct w:val="0"/>
        <w:autoSpaceDE/>
        <w:autoSpaceDN/>
        <w:bidi w:val="0"/>
        <w:adjustRightInd w:val="0"/>
        <w:snapToGrid w:val="0"/>
        <w:spacing w:line="580" w:lineRule="exact"/>
        <w:ind w:firstLine="473" w:firstLineChars="148"/>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企业为搬迁转移的农牧民每户每年发放以工补农资金，同时由企业给予每户一次性农牧业生产设施安置费</w:t>
      </w:r>
      <w:r>
        <w:rPr>
          <w:rFonts w:hint="eastAsia" w:ascii="Times New Roman" w:hAnsi="Times New Roman" w:eastAsia="仿宋_GB2312" w:cs="Times New Roman"/>
          <w:color w:val="000000"/>
          <w:sz w:val="32"/>
          <w:szCs w:val="32"/>
          <w:highlight w:val="none"/>
          <w:lang w:val="en-US" w:eastAsia="zh-CN"/>
        </w:rPr>
        <w:t>11</w:t>
      </w:r>
      <w:r>
        <w:rPr>
          <w:rFonts w:hint="default" w:ascii="Times New Roman" w:hAnsi="Times New Roman" w:eastAsia="仿宋_GB2312" w:cs="Times New Roman"/>
          <w:color w:val="000000"/>
          <w:sz w:val="32"/>
          <w:szCs w:val="32"/>
          <w:highlight w:val="none"/>
        </w:rPr>
        <w:t>万元；签订协议时子女尚未成家的，企业在其成家后给予每户每年以工补农资金，同时由企业给予每户一次性农牧业生产设施安置费</w:t>
      </w:r>
      <w:r>
        <w:rPr>
          <w:rFonts w:hint="eastAsia" w:ascii="Times New Roman" w:hAnsi="Times New Roman" w:eastAsia="仿宋_GB2312" w:cs="Times New Roman"/>
          <w:color w:val="000000"/>
          <w:sz w:val="32"/>
          <w:szCs w:val="32"/>
          <w:highlight w:val="none"/>
          <w:lang w:val="en-US" w:eastAsia="zh-CN"/>
        </w:rPr>
        <w:t>11</w:t>
      </w:r>
      <w:r>
        <w:rPr>
          <w:rFonts w:hint="default" w:ascii="Times New Roman" w:hAnsi="Times New Roman" w:eastAsia="仿宋_GB2312" w:cs="Times New Roman"/>
          <w:color w:val="000000"/>
          <w:sz w:val="32"/>
          <w:szCs w:val="32"/>
          <w:highlight w:val="none"/>
        </w:rPr>
        <w:t>万元(</w:t>
      </w:r>
      <w:r>
        <w:rPr>
          <w:rStyle w:val="7"/>
          <w:rFonts w:ascii="Times New Roman" w:hAnsi="Times New Roman" w:eastAsia="仿宋_GB2312" w:cs="Times New Roman"/>
          <w:caps w:val="0"/>
          <w:color w:val="000000"/>
          <w:spacing w:val="0"/>
          <w:sz w:val="32"/>
          <w:szCs w:val="32"/>
          <w:highlight w:val="none"/>
          <w:shd w:val="clear" w:color="auto" w:fill="FFFFFF"/>
        </w:rPr>
        <w:t>子女均为女性的家庭，按一户标准享受相关待遇</w:t>
      </w:r>
      <w:r>
        <w:rPr>
          <w:rStyle w:val="7"/>
          <w:rFonts w:hint="eastAsia" w:ascii="Times New Roman" w:hAnsi="Times New Roman" w:eastAsia="仿宋_GB2312" w:cs="Times New Roman"/>
          <w:caps w:val="0"/>
          <w:color w:val="000000"/>
          <w:spacing w:val="0"/>
          <w:sz w:val="32"/>
          <w:szCs w:val="32"/>
          <w:highlight w:val="none"/>
          <w:shd w:val="clear" w:color="auto" w:fill="FFFFFF"/>
          <w:lang w:eastAsia="zh-CN"/>
        </w:rPr>
        <w:t>）。</w:t>
      </w:r>
    </w:p>
    <w:p w14:paraId="56D9D1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val="en-US"/>
        </w:rPr>
      </w:pPr>
      <w:r>
        <w:rPr>
          <w:rFonts w:hint="default" w:ascii="Times New Roman" w:hAnsi="Times New Roman" w:eastAsia="黑体" w:cs="Times New Roman"/>
          <w:color w:val="000000"/>
          <w:sz w:val="32"/>
          <w:szCs w:val="32"/>
          <w:highlight w:val="none"/>
        </w:rPr>
        <w:t>第十</w:t>
      </w:r>
      <w:r>
        <w:rPr>
          <w:rFonts w:hint="eastAsia"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lang w:val="en-US" w:eastAsia="zh-CN"/>
        </w:rPr>
        <w:t xml:space="preserve"> 搬迁安置。</w:t>
      </w:r>
      <w:r>
        <w:rPr>
          <w:rFonts w:hint="default" w:ascii="Times New Roman" w:hAnsi="Times New Roman" w:eastAsia="仿宋_GB2312" w:cs="Times New Roman"/>
          <w:color w:val="000000"/>
          <w:sz w:val="32"/>
          <w:szCs w:val="32"/>
          <w:highlight w:val="none"/>
        </w:rPr>
        <w:t>未将承包地交回发包方的</w:t>
      </w:r>
      <w:r>
        <w:rPr>
          <w:rFonts w:hint="default" w:ascii="Times New Roman" w:hAnsi="Times New Roman" w:eastAsia="仿宋_GB2312" w:cs="Times New Roman"/>
          <w:color w:val="000000"/>
          <w:sz w:val="32"/>
          <w:szCs w:val="32"/>
          <w:highlight w:val="none"/>
          <w:lang w:val="en-US" w:eastAsia="zh-CN"/>
        </w:rPr>
        <w:t>搬迁户住房安置人数以签订协议时的户籍人口为准进行一次性安置。草牧场进入采区范围不到</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lang w:val="en-US" w:eastAsia="zh-CN"/>
        </w:rPr>
        <w:t>0%</w:t>
      </w:r>
      <w:r>
        <w:rPr>
          <w:rFonts w:hint="eastAsia" w:ascii="Times New Roman" w:hAnsi="Times New Roman" w:eastAsia="仿宋_GB2312" w:cs="Times New Roman"/>
          <w:color w:val="000000"/>
          <w:sz w:val="32"/>
          <w:szCs w:val="32"/>
          <w:highlight w:val="none"/>
          <w:lang w:val="en-US" w:eastAsia="zh-CN"/>
        </w:rPr>
        <w:t>且住房在采区范围之内的农牧户以“一户一宅”原则，可选择在井田范围外草牧场申请审批宅基地安置，也可选择享受住房安置。</w:t>
      </w:r>
    </w:p>
    <w:p w14:paraId="5B874F6E">
      <w:pPr>
        <w:keepNext w:val="0"/>
        <w:keepLines w:val="0"/>
        <w:pageBreakBefore w:val="0"/>
        <w:widowControl w:val="0"/>
        <w:kinsoku/>
        <w:wordWrap/>
        <w:overflowPunct/>
        <w:topLinePunct w:val="0"/>
        <w:autoSpaceDE/>
        <w:autoSpaceDN/>
        <w:bidi w:val="0"/>
        <w:adjustRightInd w:val="0"/>
        <w:snapToGrid w:val="0"/>
        <w:spacing w:line="580" w:lineRule="exact"/>
        <w:ind w:firstLine="473" w:firstLineChars="148"/>
        <w:jc w:val="both"/>
        <w:textAlignment w:val="baseline"/>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自愿将承包地交回发包方</w:t>
      </w:r>
      <w:r>
        <w:rPr>
          <w:rFonts w:hint="default" w:ascii="Times New Roman" w:hAnsi="Times New Roman" w:eastAsia="仿宋_GB2312" w:cs="Times New Roman"/>
          <w:color w:val="000000"/>
          <w:sz w:val="32"/>
          <w:szCs w:val="32"/>
          <w:highlight w:val="none"/>
          <w:lang w:val="en-US" w:eastAsia="zh-CN"/>
        </w:rPr>
        <w:t>的搬迁户</w:t>
      </w:r>
      <w:r>
        <w:rPr>
          <w:rFonts w:hint="default" w:ascii="Times New Roman" w:hAnsi="Times New Roman" w:eastAsia="仿宋_GB2312" w:cs="Times New Roman"/>
          <w:color w:val="000000"/>
          <w:sz w:val="32"/>
          <w:szCs w:val="32"/>
          <w:highlight w:val="none"/>
        </w:rPr>
        <w:t>住房安置以户为单位，达到法定结婚年龄的未婚或已婚未分户子女可以单独计户(</w:t>
      </w:r>
      <w:r>
        <w:rPr>
          <w:rStyle w:val="7"/>
          <w:rFonts w:ascii="Times New Roman" w:hAnsi="Times New Roman" w:eastAsia="仿宋_GB2312" w:cs="Times New Roman"/>
          <w:caps w:val="0"/>
          <w:color w:val="000000"/>
          <w:spacing w:val="0"/>
          <w:sz w:val="32"/>
          <w:szCs w:val="32"/>
          <w:highlight w:val="none"/>
          <w:shd w:val="clear" w:color="auto" w:fill="FFFFFF"/>
        </w:rPr>
        <w:t>子女均为女性的家庭，按一户标准享受相关待遇</w:t>
      </w:r>
      <w:r>
        <w:rPr>
          <w:rStyle w:val="7"/>
          <w:rFonts w:hint="eastAsia" w:ascii="Times New Roman" w:hAnsi="Times New Roman" w:eastAsia="仿宋_GB2312" w:cs="Times New Roman"/>
          <w:caps w:val="0"/>
          <w:color w:val="000000"/>
          <w:spacing w:val="0"/>
          <w:sz w:val="32"/>
          <w:szCs w:val="32"/>
          <w:highlight w:val="none"/>
          <w:shd w:val="clear" w:color="auto" w:fill="FFFFFF"/>
          <w:lang w:eastAsia="zh-CN"/>
        </w:rPr>
        <w:t>）</w:t>
      </w:r>
      <w:r>
        <w:rPr>
          <w:rStyle w:val="7"/>
          <w:rFonts w:hint="eastAsia" w:ascii="Times New Roman" w:hAnsi="Times New Roman" w:eastAsia="仿宋_GB2312" w:cs="Times New Roman"/>
          <w:caps w:val="0"/>
          <w:color w:val="000000"/>
          <w:spacing w:val="0"/>
          <w:sz w:val="32"/>
          <w:szCs w:val="32"/>
          <w:highlight w:val="none"/>
          <w:shd w:val="clear" w:color="auto" w:fill="FFFFFF"/>
          <w:lang w:val="en-US" w:eastAsia="zh-CN"/>
        </w:rPr>
        <w:t>进行</w:t>
      </w:r>
      <w:r>
        <w:rPr>
          <w:rFonts w:hint="eastAsia" w:ascii="Times New Roman" w:hAnsi="Times New Roman" w:eastAsia="仿宋_GB2312" w:cs="Times New Roman"/>
          <w:color w:val="000000"/>
          <w:sz w:val="32"/>
          <w:szCs w:val="32"/>
          <w:highlight w:val="none"/>
          <w:lang w:val="en-US" w:eastAsia="zh-CN"/>
        </w:rPr>
        <w:t>安置。</w:t>
      </w:r>
    </w:p>
    <w:p w14:paraId="0579D9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搬迁户</w:t>
      </w:r>
      <w:r>
        <w:rPr>
          <w:rFonts w:hint="default" w:ascii="Times New Roman" w:hAnsi="Times New Roman" w:eastAsia="仿宋_GB2312" w:cs="Times New Roman"/>
          <w:color w:val="000000"/>
          <w:sz w:val="32"/>
          <w:szCs w:val="32"/>
          <w:highlight w:val="none"/>
        </w:rPr>
        <w:t>按以下</w:t>
      </w:r>
      <w:r>
        <w:rPr>
          <w:rFonts w:hint="default" w:ascii="Times New Roman" w:hAnsi="Times New Roman" w:eastAsia="仿宋_GB2312" w:cs="Times New Roman"/>
          <w:color w:val="000000"/>
          <w:sz w:val="32"/>
          <w:szCs w:val="32"/>
          <w:highlight w:val="none"/>
          <w:lang w:val="en-US" w:eastAsia="zh-CN"/>
        </w:rPr>
        <w:t>两</w:t>
      </w:r>
      <w:r>
        <w:rPr>
          <w:rFonts w:hint="default" w:ascii="Times New Roman" w:hAnsi="Times New Roman" w:eastAsia="仿宋_GB2312" w:cs="Times New Roman"/>
          <w:color w:val="000000"/>
          <w:sz w:val="32"/>
          <w:szCs w:val="32"/>
          <w:highlight w:val="none"/>
        </w:rPr>
        <w:t>种方式自行选择一种进行安置：</w:t>
      </w:r>
    </w:p>
    <w:p w14:paraId="0DCA4C63">
      <w:pPr>
        <w:keepNext w:val="0"/>
        <w:keepLines w:val="0"/>
        <w:pageBreakBefore w:val="0"/>
        <w:widowControl w:val="0"/>
        <w:numPr>
          <w:ilvl w:val="0"/>
          <w:numId w:val="2"/>
        </w:numPr>
        <w:kinsoku/>
        <w:wordWrap/>
        <w:overflowPunct/>
        <w:topLinePunct w:val="0"/>
        <w:autoSpaceDE/>
        <w:autoSpaceDN/>
        <w:bidi w:val="0"/>
        <w:adjustRightInd w:val="0"/>
        <w:snapToGrid w:val="0"/>
        <w:spacing w:line="580" w:lineRule="exact"/>
        <w:ind w:left="0" w:leftChars="0" w:firstLine="473" w:firstLineChars="148"/>
        <w:jc w:val="both"/>
        <w:textAlignment w:val="baseline"/>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房屋</w:t>
      </w:r>
      <w:r>
        <w:rPr>
          <w:rFonts w:hint="default" w:ascii="Times New Roman" w:hAnsi="Times New Roman" w:eastAsia="仿宋_GB2312" w:cs="Times New Roman"/>
          <w:color w:val="000000"/>
          <w:sz w:val="32"/>
          <w:szCs w:val="32"/>
          <w:highlight w:val="none"/>
          <w:lang w:val="en-US" w:eastAsia="zh-CN"/>
        </w:rPr>
        <w:t>置换</w:t>
      </w:r>
      <w:r>
        <w:rPr>
          <w:rFonts w:hint="default" w:ascii="Times New Roman" w:hAnsi="Times New Roman" w:eastAsia="仿宋_GB2312" w:cs="Times New Roman"/>
          <w:color w:val="000000"/>
          <w:sz w:val="32"/>
          <w:szCs w:val="32"/>
          <w:highlight w:val="none"/>
        </w:rPr>
        <w:t>安置</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本集体经济组织成员按时自行拆除塌陷区原有住房且放弃宅基地使用权的，给予每户(3人以下，含3人)70</w:t>
      </w:r>
      <w:r>
        <w:rPr>
          <w:rFonts w:hint="default" w:ascii="Times New Roman" w:hAnsi="Times New Roman" w:eastAsia="仿宋_GB2312" w:cs="Times New Roman"/>
          <w:color w:val="000000"/>
          <w:sz w:val="32"/>
          <w:szCs w:val="32"/>
          <w:highlight w:val="none"/>
          <w:lang w:val="en-US" w:eastAsia="zh-CN"/>
        </w:rPr>
        <w:t>平方米</w:t>
      </w:r>
      <w:r>
        <w:rPr>
          <w:rFonts w:hint="default" w:ascii="Times New Roman" w:hAnsi="Times New Roman" w:eastAsia="仿宋_GB2312" w:cs="Times New Roman"/>
          <w:color w:val="000000"/>
          <w:sz w:val="32"/>
          <w:szCs w:val="32"/>
          <w:highlight w:val="none"/>
        </w:rPr>
        <w:t>简装修住房一套，3人以上的，每多1人增加25</w:t>
      </w:r>
      <w:r>
        <w:rPr>
          <w:rFonts w:hint="default" w:ascii="Times New Roman" w:hAnsi="Times New Roman" w:eastAsia="仿宋_GB2312" w:cs="Times New Roman"/>
          <w:color w:val="000000"/>
          <w:sz w:val="32"/>
          <w:szCs w:val="32"/>
          <w:highlight w:val="none"/>
          <w:lang w:val="en-US" w:eastAsia="zh-CN"/>
        </w:rPr>
        <w:t>平方米</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超出应供标准的面积，按</w:t>
      </w:r>
      <w:r>
        <w:rPr>
          <w:rFonts w:hint="default" w:ascii="Times New Roman" w:hAnsi="Times New Roman" w:eastAsia="仿宋_GB2312" w:cs="Times New Roman"/>
          <w:color w:val="000000"/>
          <w:sz w:val="32"/>
          <w:szCs w:val="32"/>
          <w:highlight w:val="none"/>
          <w:lang w:val="en-US" w:eastAsia="zh-CN"/>
        </w:rPr>
        <w:t>按安置房综合成本价</w:t>
      </w:r>
      <w:r>
        <w:rPr>
          <w:rFonts w:hint="default" w:ascii="Times New Roman" w:hAnsi="Times New Roman" w:eastAsia="仿宋_GB2312" w:cs="Times New Roman"/>
          <w:color w:val="000000"/>
          <w:sz w:val="32"/>
          <w:szCs w:val="32"/>
          <w:highlight w:val="none"/>
        </w:rPr>
        <w:t>格由</w:t>
      </w:r>
      <w:r>
        <w:rPr>
          <w:rFonts w:hint="default" w:ascii="Times New Roman" w:hAnsi="Times New Roman" w:eastAsia="仿宋_GB2312" w:cs="Times New Roman"/>
          <w:color w:val="000000"/>
          <w:sz w:val="32"/>
          <w:szCs w:val="32"/>
          <w:highlight w:val="none"/>
          <w:lang w:val="en-US" w:eastAsia="zh-CN"/>
        </w:rPr>
        <w:t>搬迁户自行承担</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户人均面积不足25平米的，</w:t>
      </w:r>
      <w:r>
        <w:rPr>
          <w:rFonts w:hint="default" w:ascii="Times New Roman" w:hAnsi="Times New Roman" w:eastAsia="仿宋_GB2312" w:cs="Times New Roman"/>
          <w:color w:val="000000"/>
          <w:sz w:val="32"/>
          <w:szCs w:val="32"/>
          <w:highlight w:val="none"/>
          <w:lang w:eastAsia="zh-CN"/>
        </w:rPr>
        <w:t>不足部分</w:t>
      </w:r>
      <w:r>
        <w:rPr>
          <w:rFonts w:hint="default" w:ascii="Times New Roman" w:hAnsi="Times New Roman" w:eastAsia="仿宋_GB2312" w:cs="Times New Roman"/>
          <w:color w:val="000000"/>
          <w:sz w:val="32"/>
          <w:szCs w:val="32"/>
          <w:highlight w:val="none"/>
          <w:lang w:val="en-US" w:eastAsia="zh-CN"/>
        </w:rPr>
        <w:t>按安置房综合成本价</w:t>
      </w:r>
      <w:r>
        <w:rPr>
          <w:rFonts w:hint="default" w:ascii="Times New Roman" w:hAnsi="Times New Roman" w:eastAsia="仿宋_GB2312" w:cs="Times New Roman"/>
          <w:color w:val="000000"/>
          <w:sz w:val="32"/>
          <w:szCs w:val="32"/>
          <w:highlight w:val="none"/>
          <w:lang w:eastAsia="zh-CN"/>
        </w:rPr>
        <w:t>格补偿给搬迁户。</w:t>
      </w:r>
      <w:r>
        <w:rPr>
          <w:rFonts w:hint="default" w:ascii="Times New Roman" w:hAnsi="Times New Roman" w:eastAsia="仿宋_GB2312" w:cs="Times New Roman"/>
          <w:color w:val="000000"/>
          <w:sz w:val="32"/>
          <w:szCs w:val="32"/>
          <w:highlight w:val="none"/>
        </w:rPr>
        <w:t>人数以签订协议时</w:t>
      </w:r>
      <w:r>
        <w:rPr>
          <w:rFonts w:hint="eastAsia" w:ascii="Times New Roman" w:hAnsi="Times New Roman" w:eastAsia="仿宋_GB2312" w:cs="Times New Roman"/>
          <w:color w:val="000000"/>
          <w:sz w:val="32"/>
          <w:szCs w:val="32"/>
          <w:highlight w:val="none"/>
          <w:lang w:val="en-US" w:eastAsia="zh-CN"/>
        </w:rPr>
        <w:t>登记的</w:t>
      </w:r>
      <w:r>
        <w:rPr>
          <w:rFonts w:hint="default" w:ascii="Times New Roman" w:hAnsi="Times New Roman" w:eastAsia="仿宋_GB2312" w:cs="Times New Roman"/>
          <w:color w:val="000000"/>
          <w:sz w:val="32"/>
          <w:szCs w:val="32"/>
          <w:highlight w:val="none"/>
        </w:rPr>
        <w:t>户籍人口为准</w:t>
      </w:r>
      <w:r>
        <w:rPr>
          <w:rFonts w:hint="default"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i w:val="0"/>
          <w:iCs w:val="0"/>
          <w:caps w:val="0"/>
          <w:color w:val="000000"/>
          <w:spacing w:val="0"/>
          <w:sz w:val="32"/>
          <w:szCs w:val="32"/>
          <w:highlight w:val="none"/>
          <w:shd w:val="clear" w:color="auto" w:fill="auto"/>
        </w:rPr>
        <w:t>安置住房通过政府统筹协调、企业承担购房资金的方式落实</w:t>
      </w:r>
      <w:r>
        <w:rPr>
          <w:rFonts w:hint="eastAsia" w:ascii="Times New Roman" w:hAnsi="Times New Roman" w:eastAsia="仿宋_GB2312" w:cs="Times New Roman"/>
          <w:i w:val="0"/>
          <w:iCs w:val="0"/>
          <w:caps w:val="0"/>
          <w:color w:val="000000"/>
          <w:spacing w:val="0"/>
          <w:sz w:val="32"/>
          <w:szCs w:val="32"/>
          <w:highlight w:val="none"/>
          <w:shd w:val="clear" w:color="auto" w:fill="auto"/>
          <w:lang w:eastAsia="zh-CN"/>
        </w:rPr>
        <w:t>。</w:t>
      </w:r>
    </w:p>
    <w:p w14:paraId="44AF84B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473" w:firstLineChars="148"/>
        <w:jc w:val="both"/>
        <w:textAlignment w:val="baseline"/>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（二）</w:t>
      </w:r>
      <w:r>
        <w:rPr>
          <w:rFonts w:hint="default" w:ascii="Times New Roman" w:hAnsi="Times New Roman" w:eastAsia="仿宋_GB2312" w:cs="Times New Roman"/>
          <w:color w:val="000000"/>
          <w:sz w:val="32"/>
          <w:szCs w:val="32"/>
          <w:highlight w:val="none"/>
          <w:lang w:val="en-US" w:eastAsia="zh-CN"/>
        </w:rPr>
        <w:t>货币</w:t>
      </w:r>
      <w:r>
        <w:rPr>
          <w:rFonts w:hint="default" w:ascii="Times New Roman" w:hAnsi="Times New Roman" w:eastAsia="仿宋_GB2312" w:cs="Times New Roman"/>
          <w:color w:val="000000"/>
          <w:sz w:val="32"/>
          <w:szCs w:val="32"/>
          <w:highlight w:val="none"/>
        </w:rPr>
        <w:t>安置</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农牧户若不需要安置住房，待搬迁协议签订并拆除原住房后，</w:t>
      </w:r>
      <w:r>
        <w:rPr>
          <w:rFonts w:hint="default" w:ascii="Times New Roman" w:hAnsi="Times New Roman" w:eastAsia="仿宋_GB2312" w:cs="Times New Roman"/>
          <w:color w:val="000000"/>
          <w:sz w:val="32"/>
          <w:szCs w:val="32"/>
          <w:highlight w:val="none"/>
          <w:lang w:val="en-US" w:eastAsia="zh-CN"/>
        </w:rPr>
        <w:t>每户</w:t>
      </w:r>
      <w:r>
        <w:rPr>
          <w:rFonts w:hint="default" w:ascii="Times New Roman" w:hAnsi="Times New Roman" w:eastAsia="仿宋_GB2312" w:cs="Times New Roman"/>
          <w:color w:val="000000"/>
          <w:sz w:val="32"/>
          <w:szCs w:val="32"/>
          <w:highlight w:val="none"/>
        </w:rPr>
        <w:t>(3人以下，含3人)</w:t>
      </w:r>
      <w:r>
        <w:rPr>
          <w:rFonts w:hint="default" w:ascii="Times New Roman" w:hAnsi="Times New Roman" w:eastAsia="仿宋_GB2312" w:cs="Times New Roman"/>
          <w:color w:val="000000"/>
          <w:sz w:val="32"/>
          <w:szCs w:val="32"/>
          <w:highlight w:val="none"/>
          <w:lang w:val="en-US" w:eastAsia="zh-CN"/>
        </w:rPr>
        <w:t>给予70平方米住房等价</w:t>
      </w:r>
      <w:r>
        <w:rPr>
          <w:rFonts w:hint="eastAsia" w:ascii="Times New Roman" w:hAnsi="Times New Roman" w:eastAsia="仿宋_GB2312" w:cs="Times New Roman"/>
          <w:color w:val="000000"/>
          <w:sz w:val="32"/>
          <w:szCs w:val="32"/>
          <w:highlight w:val="none"/>
          <w:lang w:val="en-US" w:eastAsia="zh-CN"/>
        </w:rPr>
        <w:t>货币</w:t>
      </w:r>
      <w:r>
        <w:rPr>
          <w:rFonts w:hint="default" w:ascii="Times New Roman" w:hAnsi="Times New Roman" w:eastAsia="仿宋_GB2312" w:cs="Times New Roman"/>
          <w:color w:val="000000"/>
          <w:sz w:val="32"/>
          <w:szCs w:val="32"/>
          <w:highlight w:val="none"/>
          <w:lang w:val="en-US" w:eastAsia="zh-CN"/>
        </w:rPr>
        <w:t>安置</w:t>
      </w:r>
      <w:r>
        <w:rPr>
          <w:rFonts w:hint="eastAsia" w:ascii="Times New Roman" w:hAnsi="Times New Roman" w:eastAsia="仿宋_GB2312" w:cs="Times New Roman"/>
          <w:color w:val="000000"/>
          <w:sz w:val="32"/>
          <w:szCs w:val="32"/>
          <w:highlight w:val="none"/>
          <w:lang w:val="en-US" w:eastAsia="zh-CN"/>
        </w:rPr>
        <w:t>补偿</w:t>
      </w:r>
      <w:r>
        <w:rPr>
          <w:rFonts w:hint="default" w:ascii="Times New Roman" w:hAnsi="Times New Roman" w:eastAsia="仿宋_GB2312" w:cs="Times New Roman"/>
          <w:color w:val="000000"/>
          <w:sz w:val="32"/>
          <w:szCs w:val="32"/>
          <w:highlight w:val="none"/>
          <w:lang w:val="en-US" w:eastAsia="zh-CN"/>
        </w:rPr>
        <w:t>（按安置房综合成本价折算）；3人以上的，</w:t>
      </w:r>
      <w:r>
        <w:rPr>
          <w:rFonts w:hint="default" w:ascii="Times New Roman" w:hAnsi="Times New Roman" w:eastAsia="仿宋_GB2312" w:cs="Times New Roman"/>
          <w:color w:val="000000"/>
          <w:sz w:val="32"/>
          <w:szCs w:val="32"/>
          <w:highlight w:val="none"/>
        </w:rPr>
        <w:t>每</w:t>
      </w:r>
      <w:r>
        <w:rPr>
          <w:rFonts w:hint="default" w:ascii="Times New Roman" w:hAnsi="Times New Roman" w:eastAsia="仿宋_GB2312" w:cs="Times New Roman"/>
          <w:color w:val="000000"/>
          <w:sz w:val="32"/>
          <w:szCs w:val="32"/>
          <w:highlight w:val="none"/>
          <w:lang w:val="en-US" w:eastAsia="zh-CN"/>
        </w:rPr>
        <w:t>多1</w:t>
      </w:r>
      <w:r>
        <w:rPr>
          <w:rFonts w:hint="default" w:ascii="Times New Roman" w:hAnsi="Times New Roman" w:eastAsia="仿宋_GB2312" w:cs="Times New Roman"/>
          <w:color w:val="000000"/>
          <w:sz w:val="32"/>
          <w:szCs w:val="32"/>
          <w:highlight w:val="none"/>
        </w:rPr>
        <w:t>人</w:t>
      </w:r>
      <w:r>
        <w:rPr>
          <w:rFonts w:hint="default" w:ascii="Times New Roman" w:hAnsi="Times New Roman" w:eastAsia="仿宋_GB2312" w:cs="Times New Roman"/>
          <w:color w:val="000000"/>
          <w:sz w:val="32"/>
          <w:szCs w:val="32"/>
          <w:highlight w:val="none"/>
          <w:lang w:val="en-US" w:eastAsia="zh-CN"/>
        </w:rPr>
        <w:t>再增加25</w:t>
      </w:r>
      <w:r>
        <w:rPr>
          <w:rFonts w:hint="default" w:ascii="Times New Roman" w:hAnsi="Times New Roman" w:eastAsia="仿宋_GB2312" w:cs="Times New Roman"/>
          <w:color w:val="000000"/>
          <w:sz w:val="32"/>
          <w:szCs w:val="32"/>
          <w:highlight w:val="none"/>
        </w:rPr>
        <w:t>平方米</w:t>
      </w:r>
      <w:r>
        <w:rPr>
          <w:rFonts w:hint="default" w:ascii="Times New Roman" w:hAnsi="Times New Roman" w:eastAsia="仿宋_GB2312" w:cs="Times New Roman"/>
          <w:color w:val="000000"/>
          <w:sz w:val="32"/>
          <w:szCs w:val="32"/>
          <w:highlight w:val="none"/>
          <w:lang w:val="en-US" w:eastAsia="zh-CN"/>
        </w:rPr>
        <w:t>住房等价</w:t>
      </w:r>
      <w:r>
        <w:rPr>
          <w:rFonts w:hint="eastAsia" w:ascii="Times New Roman" w:hAnsi="Times New Roman" w:eastAsia="仿宋_GB2312" w:cs="Times New Roman"/>
          <w:color w:val="000000"/>
          <w:sz w:val="32"/>
          <w:szCs w:val="32"/>
          <w:highlight w:val="none"/>
          <w:lang w:val="en-US" w:eastAsia="zh-CN"/>
        </w:rPr>
        <w:t>货币</w:t>
      </w:r>
      <w:r>
        <w:rPr>
          <w:rFonts w:hint="default" w:ascii="Times New Roman" w:hAnsi="Times New Roman" w:eastAsia="仿宋_GB2312" w:cs="Times New Roman"/>
          <w:color w:val="000000"/>
          <w:sz w:val="32"/>
          <w:szCs w:val="32"/>
          <w:highlight w:val="none"/>
        </w:rPr>
        <w:t>安置</w:t>
      </w:r>
      <w:r>
        <w:rPr>
          <w:rFonts w:hint="eastAsia" w:ascii="Times New Roman" w:hAnsi="Times New Roman" w:eastAsia="仿宋_GB2312" w:cs="Times New Roman"/>
          <w:color w:val="000000"/>
          <w:sz w:val="32"/>
          <w:szCs w:val="32"/>
          <w:highlight w:val="none"/>
          <w:lang w:val="en-US" w:eastAsia="zh-CN"/>
        </w:rPr>
        <w:t>补偿</w:t>
      </w:r>
      <w:r>
        <w:rPr>
          <w:rFonts w:hint="default" w:ascii="Times New Roman" w:hAnsi="Times New Roman" w:eastAsia="仿宋_GB2312" w:cs="Times New Roman"/>
          <w:color w:val="000000"/>
          <w:sz w:val="32"/>
          <w:szCs w:val="32"/>
          <w:highlight w:val="none"/>
          <w:lang w:val="en-US" w:eastAsia="zh-CN"/>
        </w:rPr>
        <w:t>。</w:t>
      </w:r>
    </w:p>
    <w:p w14:paraId="33A5774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baseline"/>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rPr>
        <w:t>第十</w:t>
      </w:r>
      <w:r>
        <w:rPr>
          <w:rFonts w:hint="eastAsia" w:ascii="Times New Roman" w:hAnsi="Times New Roman" w:eastAsia="黑体" w:cs="Times New Roman"/>
          <w:color w:val="000000"/>
          <w:sz w:val="32"/>
          <w:szCs w:val="32"/>
          <w:highlight w:val="none"/>
          <w:lang w:val="en-US" w:eastAsia="zh-CN"/>
        </w:rPr>
        <w:t>三</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w:t>
      </w:r>
      <w:r>
        <w:rPr>
          <w:rFonts w:hint="default" w:ascii="Times New Roman" w:hAnsi="Times New Roman" w:eastAsia="仿宋_GB2312" w:cs="Times New Roman"/>
          <w:color w:val="000000"/>
          <w:sz w:val="32"/>
          <w:szCs w:val="32"/>
          <w:highlight w:val="none"/>
          <w:lang w:val="en-US" w:eastAsia="zh-CN"/>
        </w:rPr>
        <w:t>其他规定</w:t>
      </w:r>
    </w:p>
    <w:p w14:paraId="30D8266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jc w:val="both"/>
        <w:textAlignment w:val="baseline"/>
        <w:rPr>
          <w:color w:val="000000"/>
          <w:highlight w:val="none"/>
        </w:rPr>
      </w:pPr>
      <w:r>
        <w:rPr>
          <w:rFonts w:hint="default" w:ascii="Times New Roman" w:hAnsi="Times New Roman" w:eastAsia="仿宋_GB2312" w:cs="Times New Roman"/>
          <w:color w:val="000000"/>
          <w:sz w:val="32"/>
          <w:szCs w:val="32"/>
          <w:highlight w:val="none"/>
          <w:lang w:val="en-US" w:eastAsia="zh-CN"/>
        </w:rPr>
        <w:t>（一）</w:t>
      </w:r>
      <w:r>
        <w:rPr>
          <w:rFonts w:hint="default" w:ascii="Times New Roman" w:hAnsi="Times New Roman" w:eastAsia="仿宋_GB2312" w:cs="Times New Roman"/>
          <w:color w:val="000000"/>
          <w:sz w:val="32"/>
          <w:szCs w:val="32"/>
          <w:highlight w:val="none"/>
          <w:lang w:eastAsia="zh-CN"/>
        </w:rPr>
        <w:t>对规定时间内签订搬迁协议并配合拆除原有住房及附属设施的，由企业给予一次性</w:t>
      </w:r>
      <w:r>
        <w:rPr>
          <w:rFonts w:hint="eastAsia" w:ascii="Times New Roman" w:hAnsi="Times New Roman" w:eastAsia="仿宋_GB2312" w:cs="Times New Roman"/>
          <w:color w:val="000000"/>
          <w:sz w:val="32"/>
          <w:szCs w:val="32"/>
          <w:highlight w:val="none"/>
          <w:lang w:eastAsia="zh-CN"/>
        </w:rPr>
        <w:t>5</w:t>
      </w:r>
      <w:r>
        <w:rPr>
          <w:rFonts w:hint="default" w:ascii="Times New Roman" w:hAnsi="Times New Roman" w:eastAsia="仿宋_GB2312" w:cs="Times New Roman"/>
          <w:color w:val="000000"/>
          <w:sz w:val="32"/>
          <w:szCs w:val="32"/>
          <w:highlight w:val="none"/>
          <w:lang w:eastAsia="zh-CN"/>
        </w:rPr>
        <w:t>万元奖励(以1998年二轮承包数据为准)。</w:t>
      </w:r>
      <w:r>
        <w:rPr>
          <w:color w:val="000000"/>
          <w:highlight w:val="none"/>
        </w:rPr>
        <w:commentReference w:id="0"/>
      </w:r>
    </w:p>
    <w:p w14:paraId="644C17D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jc w:val="both"/>
        <w:textAlignment w:val="baseline"/>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（二）两个或两个以上煤炭企业井田范围在同一农牧户承包经营草牧场范围内的，该农牧户享受的住房安置或现金安置补偿费用，</w:t>
      </w:r>
      <w:r>
        <w:rPr>
          <w:rFonts w:hint="eastAsia" w:ascii="Times New Roman" w:hAnsi="Times New Roman" w:eastAsia="仿宋_GB2312" w:cs="Times New Roman"/>
          <w:color w:val="000000"/>
          <w:sz w:val="32"/>
          <w:szCs w:val="32"/>
          <w:highlight w:val="none"/>
          <w:lang w:val="en-US" w:eastAsia="zh-CN"/>
        </w:rPr>
        <w:t>由该两个或两个以上</w:t>
      </w:r>
      <w:r>
        <w:rPr>
          <w:rFonts w:hint="default" w:ascii="Times New Roman" w:hAnsi="Times New Roman" w:eastAsia="仿宋_GB2312" w:cs="Times New Roman"/>
          <w:color w:val="000000"/>
          <w:sz w:val="32"/>
          <w:szCs w:val="32"/>
          <w:highlight w:val="none"/>
          <w:lang w:eastAsia="zh-CN"/>
        </w:rPr>
        <w:t>煤炭企业按各自井田范围所涉及的</w:t>
      </w:r>
      <w:r>
        <w:rPr>
          <w:rFonts w:hint="eastAsia" w:ascii="Times New Roman" w:hAnsi="Times New Roman" w:eastAsia="仿宋_GB2312" w:cs="Times New Roman"/>
          <w:color w:val="000000"/>
          <w:sz w:val="32"/>
          <w:szCs w:val="32"/>
          <w:highlight w:val="none"/>
          <w:lang w:val="en-US" w:eastAsia="zh-CN"/>
        </w:rPr>
        <w:t>比例共同承担</w:t>
      </w:r>
      <w:r>
        <w:rPr>
          <w:rFonts w:hint="default" w:ascii="Times New Roman" w:hAnsi="Times New Roman" w:eastAsia="仿宋_GB2312" w:cs="Times New Roman"/>
          <w:color w:val="000000"/>
          <w:sz w:val="32"/>
          <w:szCs w:val="32"/>
          <w:highlight w:val="none"/>
          <w:lang w:eastAsia="zh-CN"/>
        </w:rPr>
        <w:t>支付</w:t>
      </w:r>
      <w:r>
        <w:rPr>
          <w:rFonts w:hint="eastAsia" w:ascii="Times New Roman" w:hAnsi="Times New Roman" w:eastAsia="仿宋_GB2312" w:cs="Times New Roman"/>
          <w:color w:val="000000"/>
          <w:sz w:val="32"/>
          <w:szCs w:val="32"/>
          <w:highlight w:val="none"/>
          <w:lang w:val="en-US" w:eastAsia="zh-CN"/>
        </w:rPr>
        <w:t>补偿金义务。</w:t>
      </w:r>
    </w:p>
    <w:p w14:paraId="66300F0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jc w:val="both"/>
        <w:textAlignment w:val="baseline"/>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（三）已进行生态（扶贫）移民</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城乡统筹</w:t>
      </w:r>
      <w:r>
        <w:rPr>
          <w:rFonts w:hint="default" w:ascii="Times New Roman" w:hAnsi="Times New Roman" w:eastAsia="仿宋_GB2312" w:cs="Times New Roman"/>
          <w:color w:val="000000"/>
          <w:sz w:val="32"/>
          <w:szCs w:val="32"/>
          <w:highlight w:val="none"/>
          <w:lang w:eastAsia="zh-CN"/>
        </w:rPr>
        <w:t>安置的嘎查（村）集体经济组织成员，在煤炭企业井田内原有的房屋等按评估价格实施拆迁，由煤炭企业一次性补偿。符合享受住房安置费补偿条件的，扣除生态（扶贫)移民</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城乡统筹</w:t>
      </w:r>
      <w:r>
        <w:rPr>
          <w:rFonts w:hint="default" w:ascii="Times New Roman" w:hAnsi="Times New Roman" w:eastAsia="仿宋_GB2312" w:cs="Times New Roman"/>
          <w:color w:val="000000"/>
          <w:sz w:val="32"/>
          <w:szCs w:val="32"/>
          <w:highlight w:val="none"/>
          <w:lang w:eastAsia="zh-CN"/>
        </w:rPr>
        <w:t>安置时所享受的政府补助后，由煤炭企业一次性支付补偿费。已享受矿区移民搬迁安置政策的，不再</w:t>
      </w:r>
      <w:r>
        <w:rPr>
          <w:rFonts w:hint="default" w:ascii="Times New Roman" w:hAnsi="Times New Roman" w:eastAsia="仿宋_GB2312" w:cs="Times New Roman"/>
          <w:color w:val="000000"/>
          <w:sz w:val="32"/>
          <w:szCs w:val="32"/>
          <w:highlight w:val="none"/>
          <w:lang w:val="en-US" w:eastAsia="zh-CN"/>
        </w:rPr>
        <w:t>重复</w:t>
      </w:r>
      <w:r>
        <w:rPr>
          <w:rFonts w:hint="default" w:ascii="Times New Roman" w:hAnsi="Times New Roman" w:eastAsia="仿宋_GB2312" w:cs="Times New Roman"/>
          <w:color w:val="000000"/>
          <w:sz w:val="32"/>
          <w:szCs w:val="32"/>
          <w:highlight w:val="none"/>
          <w:lang w:eastAsia="zh-CN"/>
        </w:rPr>
        <w:t>享受住房安置补偿政策</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只对其在拆迁范围内的建筑物（构筑物、附着物）进行补偿。</w:t>
      </w:r>
    </w:p>
    <w:p w14:paraId="006B8E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eastAsia="zh-CN"/>
        </w:rPr>
        <w:t>第</w:t>
      </w:r>
      <w:r>
        <w:rPr>
          <w:rFonts w:hint="default" w:ascii="Times New Roman" w:hAnsi="Times New Roman" w:eastAsia="黑体" w:cs="Times New Roman"/>
          <w:color w:val="000000"/>
          <w:sz w:val="32"/>
          <w:szCs w:val="32"/>
          <w:highlight w:val="none"/>
          <w:lang w:val="en-US" w:eastAsia="zh-CN"/>
        </w:rPr>
        <w:t>十</w:t>
      </w:r>
      <w:r>
        <w:rPr>
          <w:rFonts w:hint="eastAsia" w:ascii="Times New Roman" w:hAnsi="Times New Roman" w:eastAsia="黑体" w:cs="Times New Roman"/>
          <w:color w:val="000000"/>
          <w:sz w:val="32"/>
          <w:szCs w:val="32"/>
          <w:highlight w:val="none"/>
          <w:lang w:val="en-US" w:eastAsia="zh-CN"/>
        </w:rPr>
        <w:t>四</w:t>
      </w:r>
      <w:r>
        <w:rPr>
          <w:rFonts w:hint="default" w:ascii="Times New Roman" w:hAnsi="Times New Roman" w:eastAsia="黑体" w:cs="Times New Roman"/>
          <w:color w:val="000000"/>
          <w:sz w:val="32"/>
          <w:szCs w:val="32"/>
          <w:highlight w:val="none"/>
          <w:lang w:eastAsia="zh-CN"/>
        </w:rPr>
        <w:t>条</w:t>
      </w:r>
      <w:r>
        <w:rPr>
          <w:rFonts w:hint="default" w:ascii="Times New Roman" w:hAnsi="Times New Roman" w:eastAsia="仿宋_GB2312" w:cs="Times New Roman"/>
          <w:color w:val="000000"/>
          <w:sz w:val="32"/>
          <w:szCs w:val="32"/>
          <w:highlight w:val="none"/>
          <w:lang w:eastAsia="zh-CN"/>
        </w:rPr>
        <w:t xml:space="preserve"> 搬迁农牧民签订搬迁协议并将房屋及附属设施、地上</w:t>
      </w:r>
      <w:r>
        <w:rPr>
          <w:rFonts w:hint="default" w:ascii="Times New Roman" w:hAnsi="Times New Roman" w:eastAsia="仿宋_GB2312" w:cs="Times New Roman"/>
          <w:color w:val="000000"/>
          <w:sz w:val="32"/>
          <w:szCs w:val="32"/>
          <w:highlight w:val="none"/>
          <w:lang w:val="en-US" w:eastAsia="zh-CN"/>
        </w:rPr>
        <w:t>附着物</w:t>
      </w:r>
      <w:r>
        <w:rPr>
          <w:rFonts w:hint="default" w:ascii="Times New Roman" w:hAnsi="Times New Roman" w:eastAsia="仿宋_GB2312" w:cs="Times New Roman"/>
          <w:color w:val="000000"/>
          <w:sz w:val="32"/>
          <w:szCs w:val="32"/>
          <w:highlight w:val="none"/>
          <w:lang w:eastAsia="zh-CN"/>
        </w:rPr>
        <w:t>在约定期限内自行拆除，先拆除清理并经搬迁补偿工作组验收后支付补偿费用。对规定时间内签订搬迁协议并配合拆除原有住房及附属设施的农牧民，由企业给予每户</w:t>
      </w:r>
      <w:commentRangeStart w:id="1"/>
      <w:r>
        <w:rPr>
          <w:rFonts w:hint="default" w:ascii="Times New Roman" w:hAnsi="Times New Roman" w:eastAsia="仿宋_GB2312" w:cs="Times New Roman"/>
          <w:color w:val="000000"/>
          <w:sz w:val="32"/>
          <w:szCs w:val="32"/>
          <w:highlight w:val="none"/>
          <w:lang w:eastAsia="zh-CN"/>
        </w:rPr>
        <w:t>(一个草原证)一次性</w:t>
      </w:r>
      <w:r>
        <w:rPr>
          <w:rFonts w:hint="eastAsia" w:ascii="Times New Roman" w:hAnsi="Times New Roman" w:eastAsia="仿宋_GB2312" w:cs="Times New Roman"/>
          <w:color w:val="000000"/>
          <w:sz w:val="32"/>
          <w:szCs w:val="32"/>
          <w:highlight w:val="none"/>
          <w:lang w:eastAsia="zh-CN"/>
        </w:rPr>
        <w:t>5</w:t>
      </w:r>
      <w:r>
        <w:rPr>
          <w:rFonts w:hint="default" w:ascii="Times New Roman" w:hAnsi="Times New Roman" w:eastAsia="仿宋_GB2312" w:cs="Times New Roman"/>
          <w:color w:val="000000"/>
          <w:sz w:val="32"/>
          <w:szCs w:val="32"/>
          <w:highlight w:val="none"/>
          <w:lang w:eastAsia="zh-CN"/>
        </w:rPr>
        <w:t>万元奖励(以1998年二轮承包数据为准)。</w:t>
      </w:r>
      <w:commentRangeEnd w:id="1"/>
      <w:r>
        <w:rPr>
          <w:color w:val="000000"/>
          <w:highlight w:val="none"/>
        </w:rPr>
        <w:commentReference w:id="1"/>
      </w:r>
      <w:r>
        <w:rPr>
          <w:rFonts w:hint="default" w:ascii="Times New Roman" w:hAnsi="Times New Roman" w:eastAsia="仿宋_GB2312" w:cs="Times New Roman"/>
          <w:color w:val="000000"/>
          <w:sz w:val="32"/>
          <w:szCs w:val="32"/>
          <w:highlight w:val="none"/>
          <w:lang w:eastAsia="zh-CN"/>
        </w:rPr>
        <w:t>如果在约定期限内未配合拆除清理，</w:t>
      </w:r>
      <w:r>
        <w:rPr>
          <w:rFonts w:hint="eastAsia" w:ascii="Times New Roman" w:hAnsi="Times New Roman" w:eastAsia="仿宋_GB2312" w:cs="Times New Roman"/>
          <w:color w:val="000000"/>
          <w:sz w:val="32"/>
          <w:szCs w:val="32"/>
          <w:highlight w:val="none"/>
          <w:lang w:val="en-US" w:eastAsia="zh-CN"/>
        </w:rPr>
        <w:t>停止发放分年度补贴，且</w:t>
      </w:r>
      <w:r>
        <w:rPr>
          <w:rFonts w:hint="default" w:ascii="Times New Roman" w:hAnsi="Times New Roman" w:eastAsia="仿宋_GB2312" w:cs="Times New Roman"/>
          <w:color w:val="000000"/>
          <w:sz w:val="32"/>
          <w:szCs w:val="32"/>
          <w:highlight w:val="none"/>
          <w:lang w:eastAsia="zh-CN"/>
        </w:rPr>
        <w:t>不予支付</w:t>
      </w:r>
      <w:r>
        <w:rPr>
          <w:rFonts w:hint="eastAsia" w:ascii="Times New Roman" w:hAnsi="Times New Roman" w:eastAsia="仿宋_GB2312" w:cs="Times New Roman"/>
          <w:color w:val="000000"/>
          <w:sz w:val="32"/>
          <w:szCs w:val="32"/>
          <w:highlight w:val="none"/>
          <w:lang w:val="en-US" w:eastAsia="zh-CN"/>
        </w:rPr>
        <w:t>搬迁</w:t>
      </w:r>
      <w:r>
        <w:rPr>
          <w:rFonts w:hint="default" w:ascii="Times New Roman" w:hAnsi="Times New Roman" w:eastAsia="仿宋_GB2312" w:cs="Times New Roman"/>
          <w:color w:val="000000"/>
          <w:sz w:val="32"/>
          <w:szCs w:val="32"/>
          <w:highlight w:val="none"/>
          <w:lang w:eastAsia="zh-CN"/>
        </w:rPr>
        <w:t>补偿费用；超过约定期限未拆除的，由旗人民政府依法组织拆除清理，拆除费用由搬迁农牧民承担，从</w:t>
      </w:r>
      <w:r>
        <w:rPr>
          <w:rFonts w:hint="eastAsia" w:ascii="Times New Roman" w:hAnsi="Times New Roman" w:eastAsia="仿宋_GB2312" w:cs="Times New Roman"/>
          <w:color w:val="000000"/>
          <w:sz w:val="32"/>
          <w:szCs w:val="32"/>
          <w:highlight w:val="none"/>
          <w:lang w:val="en-US" w:eastAsia="zh-CN"/>
        </w:rPr>
        <w:t>搬迁</w:t>
      </w:r>
      <w:r>
        <w:rPr>
          <w:rFonts w:hint="default" w:ascii="Times New Roman" w:hAnsi="Times New Roman" w:eastAsia="仿宋_GB2312" w:cs="Times New Roman"/>
          <w:color w:val="000000"/>
          <w:sz w:val="32"/>
          <w:szCs w:val="32"/>
          <w:highlight w:val="none"/>
          <w:lang w:eastAsia="zh-CN"/>
        </w:rPr>
        <w:t>补偿费中扣除。</w:t>
      </w:r>
    </w:p>
    <w:p w14:paraId="75CCAF0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eastAsia" w:ascii="Times New Roman" w:hAnsi="Times New Roman" w:eastAsia="黑体" w:cs="Times New Roman"/>
          <w:color w:val="000000"/>
          <w:sz w:val="32"/>
          <w:szCs w:val="32"/>
          <w:highlight w:val="none"/>
          <w:lang w:val="en-US" w:eastAsia="zh-CN"/>
        </w:rPr>
        <w:t>五</w:t>
      </w:r>
      <w:r>
        <w:rPr>
          <w:rFonts w:hint="default" w:ascii="Times New Roman" w:hAnsi="Times New Roman" w:eastAsia="黑体" w:cs="Times New Roman"/>
          <w:color w:val="000000"/>
          <w:sz w:val="32"/>
          <w:szCs w:val="32"/>
          <w:highlight w:val="none"/>
        </w:rPr>
        <w:t>章</w:t>
      </w:r>
      <w:r>
        <w:rPr>
          <w:rFonts w:hint="default" w:ascii="Times New Roman" w:hAnsi="Times New Roman" w:eastAsia="黑体" w:cs="Times New Roman"/>
          <w:color w:val="000000"/>
          <w:sz w:val="32"/>
          <w:szCs w:val="32"/>
          <w:highlight w:val="none"/>
          <w:lang w:val="en-US" w:eastAsia="zh-CN"/>
        </w:rPr>
        <w:t xml:space="preserve">  </w:t>
      </w:r>
      <w:r>
        <w:rPr>
          <w:rFonts w:hint="default" w:ascii="Times New Roman" w:hAnsi="Times New Roman" w:eastAsia="黑体" w:cs="Times New Roman"/>
          <w:color w:val="000000"/>
          <w:sz w:val="32"/>
          <w:szCs w:val="32"/>
          <w:highlight w:val="none"/>
        </w:rPr>
        <w:t>管理保障措施</w:t>
      </w:r>
    </w:p>
    <w:p w14:paraId="390579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第十</w:t>
      </w:r>
      <w:r>
        <w:rPr>
          <w:rFonts w:hint="eastAsia" w:ascii="Times New Roman" w:hAnsi="Times New Roman" w:eastAsia="黑体" w:cs="Times New Roman"/>
          <w:color w:val="000000"/>
          <w:sz w:val="32"/>
          <w:szCs w:val="32"/>
          <w:highlight w:val="none"/>
          <w:lang w:val="en-US" w:eastAsia="zh-CN"/>
        </w:rPr>
        <w:t>五</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煤矿企业要建立矿区管护机制，如发现各种乱栽乱种、私搭乱建等违法行为，应</w:t>
      </w:r>
      <w:r>
        <w:rPr>
          <w:rFonts w:hint="eastAsia" w:ascii="Times New Roman" w:hAnsi="Times New Roman" w:eastAsia="仿宋_GB2312" w:cs="Times New Roman"/>
          <w:color w:val="000000"/>
          <w:sz w:val="32"/>
          <w:szCs w:val="32"/>
          <w:highlight w:val="none"/>
          <w:lang w:val="en-US" w:eastAsia="zh-CN"/>
        </w:rPr>
        <w:t>书面</w:t>
      </w:r>
      <w:r>
        <w:rPr>
          <w:rFonts w:hint="default" w:ascii="Times New Roman" w:hAnsi="Times New Roman" w:eastAsia="仿宋_GB2312" w:cs="Times New Roman"/>
          <w:color w:val="000000"/>
          <w:sz w:val="32"/>
          <w:szCs w:val="32"/>
          <w:highlight w:val="none"/>
        </w:rPr>
        <w:t>向</w:t>
      </w:r>
      <w:r>
        <w:rPr>
          <w:rFonts w:hint="eastAsia" w:ascii="Times New Roman" w:hAnsi="Times New Roman" w:eastAsia="仿宋_GB2312" w:cs="Times New Roman"/>
          <w:color w:val="000000"/>
          <w:sz w:val="32"/>
          <w:szCs w:val="32"/>
          <w:highlight w:val="none"/>
          <w:lang w:val="en-US" w:eastAsia="zh-CN"/>
        </w:rPr>
        <w:t>上海庙</w:t>
      </w:r>
      <w:r>
        <w:rPr>
          <w:rFonts w:hint="default" w:ascii="Times New Roman" w:hAnsi="Times New Roman" w:eastAsia="仿宋_GB2312" w:cs="Times New Roman"/>
          <w:color w:val="000000"/>
          <w:sz w:val="32"/>
          <w:szCs w:val="32"/>
          <w:highlight w:val="none"/>
          <w:lang w:val="en-US" w:eastAsia="zh-CN"/>
        </w:rPr>
        <w:t>镇政府或有关部门</w:t>
      </w:r>
      <w:r>
        <w:rPr>
          <w:rFonts w:hint="default" w:ascii="Times New Roman" w:hAnsi="Times New Roman" w:eastAsia="仿宋_GB2312" w:cs="Times New Roman"/>
          <w:color w:val="000000"/>
          <w:sz w:val="32"/>
          <w:szCs w:val="32"/>
          <w:highlight w:val="none"/>
        </w:rPr>
        <w:t>反映。同时，要加强已搬迁范围内的环境治理，加大采空沉陷区安全隐患排查，采煤前必须妥善解决井田范围内搬迁安置工作，确保农牧民生命财产安全。</w:t>
      </w:r>
    </w:p>
    <w:p w14:paraId="54DBCA8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十</w:t>
      </w:r>
      <w:r>
        <w:rPr>
          <w:rFonts w:hint="eastAsia" w:ascii="Times New Roman" w:hAnsi="Times New Roman" w:eastAsia="黑体" w:cs="Times New Roman"/>
          <w:color w:val="000000"/>
          <w:sz w:val="32"/>
          <w:szCs w:val="32"/>
          <w:highlight w:val="none"/>
          <w:lang w:val="en-US" w:eastAsia="zh-CN"/>
        </w:rPr>
        <w:t>六</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各类搬迁及土地补偿实施后，搬迁</w:t>
      </w:r>
      <w:r>
        <w:rPr>
          <w:rFonts w:hint="eastAsia" w:ascii="Times New Roman" w:hAnsi="Times New Roman" w:eastAsia="仿宋_GB2312" w:cs="Times New Roman"/>
          <w:color w:val="000000"/>
          <w:sz w:val="32"/>
          <w:szCs w:val="32"/>
          <w:highlight w:val="none"/>
          <w:lang w:val="en-US" w:eastAsia="zh-CN"/>
        </w:rPr>
        <w:t>对象</w:t>
      </w:r>
      <w:r>
        <w:rPr>
          <w:rFonts w:hint="default" w:ascii="Times New Roman" w:hAnsi="Times New Roman" w:eastAsia="仿宋_GB2312" w:cs="Times New Roman"/>
          <w:color w:val="000000"/>
          <w:sz w:val="32"/>
          <w:szCs w:val="32"/>
          <w:highlight w:val="none"/>
        </w:rPr>
        <w:t>不得以任何理由阻挠、干扰煤炭企业正常生产经营活动（包括消除安全隐患开展的日常维护）；在采煤沉陷范围内，实施</w:t>
      </w:r>
      <w:r>
        <w:rPr>
          <w:rFonts w:hint="eastAsia" w:ascii="Times New Roman" w:hAnsi="Times New Roman" w:eastAsia="仿宋_GB2312" w:cs="Times New Roman"/>
          <w:color w:val="000000"/>
          <w:sz w:val="32"/>
          <w:szCs w:val="32"/>
          <w:highlight w:val="none"/>
          <w:lang w:val="en-US" w:eastAsia="zh-CN"/>
        </w:rPr>
        <w:t>经营性保障设施检修、</w:t>
      </w:r>
      <w:r>
        <w:rPr>
          <w:rFonts w:hint="default" w:ascii="Times New Roman" w:hAnsi="Times New Roman" w:eastAsia="仿宋_GB2312" w:cs="Times New Roman"/>
          <w:color w:val="000000"/>
          <w:sz w:val="32"/>
          <w:szCs w:val="32"/>
          <w:highlight w:val="none"/>
        </w:rPr>
        <w:t>公益设施、农牧业开发、绿色矿山建设、生态修复及相关产业发展等项目时，对搬迁已补偿的附着物不再另行补偿，从而实现生态效益、经济效益、社会效益最大化。</w:t>
      </w:r>
      <w:r>
        <w:rPr>
          <w:rFonts w:hint="eastAsia" w:ascii="Times New Roman" w:hAnsi="Times New Roman" w:eastAsia="仿宋_GB2312" w:cs="Times New Roman"/>
          <w:color w:val="000000"/>
          <w:sz w:val="32"/>
          <w:szCs w:val="32"/>
          <w:highlight w:val="none"/>
          <w:lang w:val="en-US" w:eastAsia="zh-CN"/>
        </w:rPr>
        <w:t>上海庙镇</w:t>
      </w:r>
      <w:r>
        <w:rPr>
          <w:rFonts w:hint="default" w:ascii="Times New Roman" w:hAnsi="Times New Roman" w:eastAsia="仿宋_GB2312" w:cs="Times New Roman"/>
          <w:color w:val="000000"/>
          <w:sz w:val="32"/>
          <w:szCs w:val="32"/>
          <w:highlight w:val="none"/>
          <w:lang w:val="en-US" w:eastAsia="zh-CN"/>
        </w:rPr>
        <w:t>及</w:t>
      </w:r>
      <w:r>
        <w:rPr>
          <w:rFonts w:hint="default" w:ascii="Times New Roman" w:hAnsi="Times New Roman" w:eastAsia="仿宋_GB2312" w:cs="Times New Roman"/>
          <w:color w:val="000000"/>
          <w:sz w:val="32"/>
          <w:szCs w:val="32"/>
          <w:highlight w:val="none"/>
        </w:rPr>
        <w:t>各有关部门要依法维护煤炭企业正常生产经营秩序。</w:t>
      </w:r>
    </w:p>
    <w:p w14:paraId="22DC1162">
      <w:pPr>
        <w:keepNext w:val="0"/>
        <w:keepLines w:val="0"/>
        <w:pageBreakBefore w:val="0"/>
        <w:widowControl w:val="0"/>
        <w:kinsoku/>
        <w:wordWrap/>
        <w:overflowPunct/>
        <w:topLinePunct w:val="0"/>
        <w:autoSpaceDE/>
        <w:autoSpaceDN/>
        <w:bidi w:val="0"/>
        <w:adjustRightInd w:val="0"/>
        <w:snapToGrid w:val="0"/>
        <w:spacing w:line="580" w:lineRule="exact"/>
        <w:ind w:firstLine="793" w:firstLineChars="248"/>
        <w:jc w:val="both"/>
        <w:textAlignment w:val="baseline"/>
        <w:rPr>
          <w:rFonts w:hint="default" w:ascii="Times New Roman" w:hAnsi="Times New Roman" w:eastAsia="仿宋_GB2312" w:cs="Times New Roman"/>
          <w:color w:val="000000"/>
          <w:sz w:val="32"/>
          <w:szCs w:val="32"/>
          <w:highlight w:val="none"/>
        </w:rPr>
      </w:pPr>
      <w:r>
        <w:rPr>
          <w:rFonts w:hint="eastAsia" w:ascii="Times New Roman" w:hAnsi="Times New Roman" w:eastAsia="黑体" w:cs="Times New Roman"/>
          <w:color w:val="000000"/>
          <w:sz w:val="32"/>
          <w:szCs w:val="32"/>
          <w:highlight w:val="none"/>
          <w:lang w:val="en-US" w:eastAsia="zh-CN"/>
        </w:rPr>
        <w:t xml:space="preserve">第十七条 </w:t>
      </w:r>
      <w:r>
        <w:rPr>
          <w:rFonts w:hint="default" w:ascii="Times New Roman" w:hAnsi="Times New Roman" w:eastAsia="仿宋_GB2312" w:cs="Times New Roman"/>
          <w:color w:val="000000"/>
          <w:sz w:val="32"/>
          <w:szCs w:val="32"/>
          <w:highlight w:val="none"/>
        </w:rPr>
        <w:t>矿区塌陷区搬迁补偿安置工作领导小组应加强矿区塌陷区地质灾害险情巡回检查，发现险情及时处理和报告。遇紧急情况，需参照《中华人民共和国行政强制法》《地质灾害防治条例》组织强行避灾疏散，强制搬迁的费用由</w:t>
      </w:r>
      <w:r>
        <w:rPr>
          <w:rFonts w:hint="eastAsia" w:ascii="Times New Roman" w:hAnsi="Times New Roman" w:eastAsia="仿宋_GB2312" w:cs="Times New Roman"/>
          <w:color w:val="000000"/>
          <w:sz w:val="32"/>
          <w:szCs w:val="32"/>
          <w:highlight w:val="none"/>
          <w:lang w:val="en-US" w:eastAsia="zh-CN"/>
        </w:rPr>
        <w:t>引发该地质灾害险情的责任企业承担</w:t>
      </w:r>
      <w:r>
        <w:rPr>
          <w:rFonts w:hint="default" w:ascii="Times New Roman" w:hAnsi="Times New Roman" w:eastAsia="仿宋_GB2312" w:cs="Times New Roman"/>
          <w:color w:val="000000"/>
          <w:sz w:val="32"/>
          <w:szCs w:val="32"/>
          <w:highlight w:val="none"/>
        </w:rPr>
        <w:t>。</w:t>
      </w:r>
    </w:p>
    <w:p w14:paraId="35FC10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黑体" w:cs="Times New Roman"/>
          <w:color w:val="000000"/>
          <w:sz w:val="32"/>
          <w:szCs w:val="32"/>
          <w:highlight w:val="none"/>
        </w:rPr>
        <w:t>第</w:t>
      </w:r>
      <w:r>
        <w:rPr>
          <w:rFonts w:hint="eastAsia" w:ascii="Times New Roman" w:hAnsi="Times New Roman" w:eastAsia="黑体" w:cs="Times New Roman"/>
          <w:color w:val="000000"/>
          <w:sz w:val="32"/>
          <w:szCs w:val="32"/>
          <w:highlight w:val="none"/>
          <w:lang w:val="en-US" w:eastAsia="zh-CN"/>
        </w:rPr>
        <w:t>十八</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w:t>
      </w:r>
      <w:r>
        <w:rPr>
          <w:rFonts w:hint="eastAsia" w:ascii="Times New Roman" w:hAnsi="Times New Roman" w:eastAsia="仿宋_GB2312" w:cs="Times New Roman"/>
          <w:color w:val="000000"/>
          <w:sz w:val="32"/>
          <w:szCs w:val="32"/>
          <w:highlight w:val="none"/>
          <w:lang w:val="en-US" w:eastAsia="zh-CN"/>
        </w:rPr>
        <w:t>搬迁补偿工作应该坚持先补偿后搬迁，</w:t>
      </w:r>
      <w:r>
        <w:rPr>
          <w:rFonts w:hint="default" w:ascii="Times New Roman" w:hAnsi="Times New Roman" w:eastAsia="仿宋_GB2312" w:cs="Times New Roman"/>
          <w:color w:val="000000"/>
          <w:sz w:val="32"/>
          <w:szCs w:val="32"/>
          <w:highlight w:val="none"/>
        </w:rPr>
        <w:t>搬迁补偿过程中</w:t>
      </w:r>
      <w:r>
        <w:rPr>
          <w:rFonts w:hint="eastAsia" w:ascii="Times New Roman" w:hAnsi="Times New Roman" w:eastAsia="仿宋_GB2312" w:cs="Times New Roman"/>
          <w:color w:val="000000"/>
          <w:sz w:val="32"/>
          <w:szCs w:val="32"/>
          <w:highlight w:val="none"/>
          <w:lang w:val="en-US" w:eastAsia="zh-CN"/>
        </w:rPr>
        <w:t>搬迁对象</w:t>
      </w:r>
      <w:r>
        <w:rPr>
          <w:rFonts w:hint="default" w:ascii="Times New Roman" w:hAnsi="Times New Roman" w:eastAsia="仿宋_GB2312" w:cs="Times New Roman"/>
          <w:color w:val="000000"/>
          <w:sz w:val="32"/>
          <w:szCs w:val="32"/>
          <w:highlight w:val="none"/>
        </w:rPr>
        <w:t>不执行本办法规定的，又不通过其他正当途径维护自身权益的，为保证当事人生命财产安全，搬迁补偿工作组应第一时间设立警示牌，及时将有关情况书面告知</w:t>
      </w:r>
      <w:r>
        <w:rPr>
          <w:rFonts w:hint="eastAsia" w:ascii="Times New Roman" w:hAnsi="Times New Roman" w:eastAsia="仿宋_GB2312" w:cs="Times New Roman"/>
          <w:color w:val="000000"/>
          <w:sz w:val="32"/>
          <w:szCs w:val="32"/>
          <w:highlight w:val="none"/>
          <w:lang w:val="en-US" w:eastAsia="zh-CN"/>
        </w:rPr>
        <w:t>搬迁对象</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搬迁对象</w:t>
      </w:r>
      <w:r>
        <w:rPr>
          <w:rFonts w:hint="default" w:ascii="Times New Roman" w:hAnsi="Times New Roman" w:eastAsia="仿宋_GB2312" w:cs="Times New Roman"/>
          <w:color w:val="000000"/>
          <w:sz w:val="32"/>
          <w:szCs w:val="32"/>
          <w:highlight w:val="none"/>
        </w:rPr>
        <w:t>仍拒绝搬迁的，由搬迁补偿领导小组委托公证处进行财产保全和资金提存，通过司法途径解决，必要时根据相关法律法规采取强制措施。</w:t>
      </w:r>
    </w:p>
    <w:p w14:paraId="1BC67BC5">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第十</w:t>
      </w:r>
      <w:r>
        <w:rPr>
          <w:rFonts w:hint="eastAsia" w:ascii="Times New Roman" w:hAnsi="Times New Roman" w:eastAsia="黑体" w:cs="Times New Roman"/>
          <w:color w:val="000000"/>
          <w:sz w:val="32"/>
          <w:szCs w:val="32"/>
          <w:highlight w:val="none"/>
          <w:lang w:val="en-US" w:eastAsia="zh-CN"/>
        </w:rPr>
        <w:t>九</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在矿区补偿安置过程中，搬迁补偿领导小组、煤矿企业等有关单位工作人员应当依法依规开展相关工作，如有滥用职权、徇私舞弊、玩忽职守、激化矛盾的，对相关责任人依纪依法追究责任，构成犯罪的，移送司法机关依法追究刑事责任。</w:t>
      </w:r>
    </w:p>
    <w:p w14:paraId="14BF4A1F">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二十</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矿区搬迁补偿过程中，有弄虚作假，冒领、截留、挪用或者私分补偿金等行为的，由有关部门和单位依法查处，构成犯罪的移送司法机关。</w:t>
      </w:r>
    </w:p>
    <w:p w14:paraId="0791008C">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二十</w:t>
      </w:r>
      <w:r>
        <w:rPr>
          <w:rFonts w:hint="eastAsia" w:ascii="Times New Roman" w:hAnsi="Times New Roman" w:eastAsia="黑体" w:cs="Times New Roman"/>
          <w:color w:val="000000"/>
          <w:sz w:val="32"/>
          <w:szCs w:val="32"/>
          <w:highlight w:val="none"/>
          <w:lang w:val="en-US" w:eastAsia="zh-CN"/>
        </w:rPr>
        <w:t>一</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矿区搬迁补偿资金由煤炭企业及时、足额予以保障，实行专户专项管理使用，并由审计部门监督。</w:t>
      </w:r>
    </w:p>
    <w:p w14:paraId="62800D17">
      <w:pPr>
        <w:keepNext w:val="0"/>
        <w:keepLines w:val="0"/>
        <w:pageBreakBefore w:val="0"/>
        <w:widowControl w:val="0"/>
        <w:kinsoku/>
        <w:wordWrap/>
        <w:overflowPunct/>
        <w:topLinePunct w:val="0"/>
        <w:autoSpaceDE/>
        <w:autoSpaceDN/>
        <w:bidi w:val="0"/>
        <w:adjustRightInd w:val="0"/>
        <w:snapToGrid w:val="0"/>
        <w:spacing w:line="560" w:lineRule="exact"/>
        <w:ind w:firstLine="640"/>
        <w:jc w:val="center"/>
        <w:textAlignment w:val="baseline"/>
        <w:rPr>
          <w:rFonts w:hint="default" w:ascii="Times New Roman" w:hAnsi="Times New Roman" w:eastAsia="仿宋_GB2312" w:cs="Times New Roman"/>
          <w:color w:val="000000"/>
          <w:sz w:val="32"/>
          <w:szCs w:val="32"/>
          <w:highlight w:val="none"/>
        </w:rPr>
      </w:pPr>
    </w:p>
    <w:p w14:paraId="5D76519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baseline"/>
        <w:rPr>
          <w:rFonts w:hint="default" w:ascii="Times New Roman" w:hAnsi="Times New Roman" w:eastAsia="黑体" w:cs="Times New Roman"/>
          <w:color w:val="000000"/>
          <w:sz w:val="32"/>
          <w:szCs w:val="32"/>
          <w:highlight w:val="none"/>
          <w:lang w:val="en-US" w:eastAsia="zh-CN"/>
        </w:rPr>
      </w:pPr>
      <w:r>
        <w:rPr>
          <w:rFonts w:hint="eastAsia" w:ascii="Times New Roman" w:hAnsi="Times New Roman" w:eastAsia="黑体" w:cs="Times New Roman"/>
          <w:color w:val="000000"/>
          <w:sz w:val="32"/>
          <w:szCs w:val="32"/>
          <w:highlight w:val="none"/>
          <w:lang w:val="en-US" w:eastAsia="zh-CN"/>
        </w:rPr>
        <w:t>第六章</w:t>
      </w:r>
      <w:r>
        <w:rPr>
          <w:rFonts w:hint="default" w:ascii="Times New Roman" w:hAnsi="Times New Roman" w:eastAsia="黑体" w:cs="Times New Roman"/>
          <w:color w:val="000000"/>
          <w:sz w:val="32"/>
          <w:szCs w:val="32"/>
          <w:highlight w:val="none"/>
          <w:lang w:val="en-US" w:eastAsia="zh-CN"/>
        </w:rPr>
        <w:t xml:space="preserve"> </w:t>
      </w:r>
      <w:r>
        <w:rPr>
          <w:rFonts w:hint="eastAsia" w:ascii="Times New Roman" w:hAnsi="Times New Roman" w:eastAsia="黑体" w:cs="Times New Roman"/>
          <w:color w:val="000000"/>
          <w:sz w:val="32"/>
          <w:szCs w:val="32"/>
          <w:highlight w:val="none"/>
          <w:lang w:val="en-US" w:eastAsia="zh-CN"/>
        </w:rPr>
        <w:t xml:space="preserve"> </w:t>
      </w:r>
      <w:r>
        <w:rPr>
          <w:rFonts w:hint="default" w:ascii="Times New Roman" w:hAnsi="Times New Roman" w:eastAsia="黑体" w:cs="Times New Roman"/>
          <w:color w:val="000000"/>
          <w:sz w:val="32"/>
          <w:szCs w:val="32"/>
          <w:highlight w:val="none"/>
          <w:lang w:val="en-US" w:eastAsia="zh-CN"/>
        </w:rPr>
        <w:t>附则</w:t>
      </w:r>
    </w:p>
    <w:p w14:paraId="0FC0EC5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jc w:val="left"/>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二十</w:t>
      </w:r>
      <w:r>
        <w:rPr>
          <w:rFonts w:hint="eastAsia"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 xml:space="preserve">条 </w:t>
      </w:r>
      <w:r>
        <w:rPr>
          <w:rFonts w:hint="default" w:ascii="Times New Roman" w:hAnsi="Times New Roman" w:eastAsia="仿宋_GB2312" w:cs="Times New Roman"/>
          <w:color w:val="000000"/>
          <w:sz w:val="32"/>
          <w:szCs w:val="32"/>
          <w:highlight w:val="none"/>
        </w:rPr>
        <w:t>本办法未规定说明的事宜及搬迁补偿遗留问题由搬迁</w:t>
      </w:r>
      <w:r>
        <w:rPr>
          <w:rFonts w:hint="default" w:ascii="Times New Roman" w:hAnsi="Times New Roman" w:eastAsia="仿宋_GB2312" w:cs="Times New Roman"/>
          <w:color w:val="000000"/>
          <w:sz w:val="32"/>
          <w:szCs w:val="32"/>
          <w:highlight w:val="none"/>
          <w:lang w:val="en-US" w:eastAsia="zh-CN"/>
        </w:rPr>
        <w:t>安置</w:t>
      </w:r>
      <w:r>
        <w:rPr>
          <w:rFonts w:hint="default" w:ascii="Times New Roman" w:hAnsi="Times New Roman" w:eastAsia="仿宋_GB2312" w:cs="Times New Roman"/>
          <w:color w:val="000000"/>
          <w:sz w:val="32"/>
          <w:szCs w:val="32"/>
          <w:highlight w:val="none"/>
        </w:rPr>
        <w:t>补偿</w:t>
      </w:r>
      <w:r>
        <w:rPr>
          <w:rFonts w:hint="eastAsia" w:ascii="Times New Roman" w:hAnsi="Times New Roman" w:eastAsia="仿宋_GB2312" w:cs="Times New Roman"/>
          <w:color w:val="000000"/>
          <w:sz w:val="32"/>
          <w:szCs w:val="32"/>
          <w:highlight w:val="none"/>
          <w:lang w:val="en-US" w:eastAsia="zh-CN"/>
        </w:rPr>
        <w:t>领导小组</w:t>
      </w:r>
      <w:r>
        <w:rPr>
          <w:rFonts w:hint="default" w:ascii="Times New Roman" w:hAnsi="Times New Roman" w:eastAsia="仿宋_GB2312" w:cs="Times New Roman"/>
          <w:color w:val="000000"/>
          <w:sz w:val="32"/>
          <w:szCs w:val="32"/>
          <w:highlight w:val="none"/>
        </w:rPr>
        <w:t>共同商定，对实施过程中出现的重大情况要及时报告</w:t>
      </w:r>
      <w:r>
        <w:rPr>
          <w:rFonts w:hint="eastAsia" w:ascii="Times New Roman" w:hAnsi="Times New Roman" w:eastAsia="仿宋_GB2312" w:cs="Times New Roman"/>
          <w:color w:val="000000"/>
          <w:sz w:val="32"/>
          <w:szCs w:val="32"/>
          <w:highlight w:val="none"/>
          <w:lang w:val="en-US" w:eastAsia="zh-CN"/>
        </w:rPr>
        <w:t>领导小组</w:t>
      </w:r>
      <w:r>
        <w:rPr>
          <w:rFonts w:hint="default" w:ascii="Times New Roman" w:hAnsi="Times New Roman" w:eastAsia="仿宋_GB2312" w:cs="Times New Roman"/>
          <w:color w:val="000000"/>
          <w:sz w:val="32"/>
          <w:szCs w:val="32"/>
          <w:highlight w:val="none"/>
        </w:rPr>
        <w:t>。</w:t>
      </w:r>
    </w:p>
    <w:p w14:paraId="7FDEE92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二十</w:t>
      </w:r>
      <w:r>
        <w:rPr>
          <w:rFonts w:hint="eastAsia" w:ascii="Times New Roman" w:hAnsi="Times New Roman" w:eastAsia="黑体" w:cs="Times New Roman"/>
          <w:color w:val="000000"/>
          <w:sz w:val="32"/>
          <w:szCs w:val="32"/>
          <w:highlight w:val="none"/>
          <w:lang w:val="en-US" w:eastAsia="zh-CN"/>
        </w:rPr>
        <w:t>三</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为促进矿区移民安置补偿工作有序开展，建立移民安置补偿协调机制，</w:t>
      </w:r>
      <w:r>
        <w:rPr>
          <w:rFonts w:hint="default" w:ascii="Times New Roman" w:hAnsi="Times New Roman" w:eastAsia="仿宋_GB2312" w:cs="Times New Roman"/>
          <w:color w:val="000000"/>
          <w:sz w:val="32"/>
          <w:szCs w:val="32"/>
          <w:highlight w:val="none"/>
          <w:lang w:val="en-US" w:eastAsia="zh-CN"/>
        </w:rPr>
        <w:t>所涉及</w:t>
      </w:r>
      <w:r>
        <w:rPr>
          <w:rFonts w:hint="default" w:ascii="Times New Roman" w:hAnsi="Times New Roman" w:eastAsia="仿宋_GB2312" w:cs="Times New Roman"/>
          <w:color w:val="000000"/>
          <w:sz w:val="32"/>
          <w:szCs w:val="32"/>
          <w:highlight w:val="none"/>
        </w:rPr>
        <w:t>镇政府、</w:t>
      </w:r>
      <w:r>
        <w:rPr>
          <w:rFonts w:hint="default" w:ascii="Times New Roman" w:hAnsi="Times New Roman" w:eastAsia="仿宋_GB2312" w:cs="Times New Roman"/>
          <w:color w:val="000000"/>
          <w:sz w:val="32"/>
          <w:szCs w:val="32"/>
          <w:highlight w:val="none"/>
          <w:lang w:val="en-US" w:eastAsia="zh-CN"/>
        </w:rPr>
        <w:t>旗直相关部门、</w:t>
      </w:r>
      <w:r>
        <w:rPr>
          <w:rFonts w:hint="default" w:ascii="Times New Roman" w:hAnsi="Times New Roman" w:eastAsia="仿宋_GB2312" w:cs="Times New Roman"/>
          <w:color w:val="000000"/>
          <w:sz w:val="32"/>
          <w:szCs w:val="32"/>
          <w:highlight w:val="none"/>
        </w:rPr>
        <w:t>煤炭企业等有关单位和被搬迁对象针对搬迁中出现的问题，通过协商研究予以解决。</w:t>
      </w:r>
    </w:p>
    <w:p w14:paraId="54AFB2C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0"/>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default" w:ascii="Times New Roman" w:hAnsi="Times New Roman" w:eastAsia="黑体" w:cs="Times New Roman"/>
          <w:color w:val="000000"/>
          <w:sz w:val="32"/>
          <w:szCs w:val="32"/>
          <w:highlight w:val="none"/>
          <w:lang w:val="en-US" w:eastAsia="zh-CN"/>
        </w:rPr>
        <w:t>二十</w:t>
      </w:r>
      <w:r>
        <w:rPr>
          <w:rFonts w:hint="eastAsia" w:ascii="Times New Roman" w:hAnsi="Times New Roman" w:eastAsia="黑体" w:cs="Times New Roman"/>
          <w:color w:val="000000"/>
          <w:sz w:val="32"/>
          <w:szCs w:val="32"/>
          <w:highlight w:val="none"/>
          <w:lang w:val="en-US" w:eastAsia="zh-CN"/>
        </w:rPr>
        <w:t>四</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矿区移民安置补偿中发生争议时，可先行申请调解，若调解不成，则争议各方均有权依法主张其权利。</w:t>
      </w:r>
    </w:p>
    <w:p w14:paraId="305F10DD">
      <w:pPr>
        <w:keepNext w:val="0"/>
        <w:keepLines w:val="0"/>
        <w:pageBreakBefore w:val="0"/>
        <w:widowControl w:val="0"/>
        <w:kinsoku/>
        <w:wordWrap/>
        <w:overflowPunct/>
        <w:topLinePunct w:val="0"/>
        <w:autoSpaceDE/>
        <w:autoSpaceDN/>
        <w:bidi w:val="0"/>
        <w:adjustRightInd w:val="0"/>
        <w:snapToGrid w:val="0"/>
        <w:spacing w:before="0" w:line="560" w:lineRule="exact"/>
        <w:ind w:right="0" w:firstLine="640" w:firstLineChars="200"/>
        <w:jc w:val="left"/>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第二十</w:t>
      </w:r>
      <w:r>
        <w:rPr>
          <w:rFonts w:hint="eastAsia" w:ascii="Times New Roman" w:hAnsi="Times New Roman" w:eastAsia="黑体" w:cs="Times New Roman"/>
          <w:color w:val="000000"/>
          <w:sz w:val="32"/>
          <w:szCs w:val="32"/>
          <w:highlight w:val="none"/>
          <w:lang w:val="en-US" w:eastAsia="zh-CN"/>
        </w:rPr>
        <w:t>五</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本办法施行前已经完成的</w:t>
      </w:r>
      <w:r>
        <w:rPr>
          <w:rFonts w:hint="default" w:ascii="Times New Roman" w:hAnsi="Times New Roman" w:eastAsia="仿宋_GB2312" w:cs="Times New Roman"/>
          <w:color w:val="000000"/>
          <w:sz w:val="32"/>
          <w:szCs w:val="32"/>
          <w:highlight w:val="none"/>
          <w:lang w:val="en-US" w:eastAsia="zh-CN"/>
        </w:rPr>
        <w:t>搬迁</w:t>
      </w:r>
      <w:r>
        <w:rPr>
          <w:rFonts w:hint="default" w:ascii="Times New Roman" w:hAnsi="Times New Roman" w:eastAsia="仿宋_GB2312" w:cs="Times New Roman"/>
          <w:color w:val="000000"/>
          <w:sz w:val="32"/>
          <w:szCs w:val="32"/>
          <w:highlight w:val="none"/>
        </w:rPr>
        <w:t>安置补偿工作或已经启动的</w:t>
      </w:r>
      <w:r>
        <w:rPr>
          <w:rFonts w:hint="default" w:ascii="Times New Roman" w:hAnsi="Times New Roman" w:eastAsia="仿宋_GB2312" w:cs="Times New Roman"/>
          <w:color w:val="000000"/>
          <w:sz w:val="32"/>
          <w:szCs w:val="32"/>
          <w:highlight w:val="none"/>
          <w:lang w:val="en-US" w:eastAsia="zh-CN"/>
        </w:rPr>
        <w:t>搬迁</w:t>
      </w:r>
      <w:r>
        <w:rPr>
          <w:rFonts w:hint="default" w:ascii="Times New Roman" w:hAnsi="Times New Roman" w:eastAsia="仿宋_GB2312" w:cs="Times New Roman"/>
          <w:color w:val="000000"/>
          <w:sz w:val="32"/>
          <w:szCs w:val="32"/>
          <w:highlight w:val="none"/>
        </w:rPr>
        <w:t>安置补偿工作仍执行原搬迁安置补偿</w:t>
      </w:r>
      <w:r>
        <w:rPr>
          <w:rFonts w:hint="eastAsia" w:ascii="Times New Roman" w:hAnsi="Times New Roman" w:eastAsia="仿宋_GB2312" w:cs="Times New Roman"/>
          <w:color w:val="000000"/>
          <w:sz w:val="32"/>
          <w:szCs w:val="32"/>
          <w:highlight w:val="none"/>
          <w:lang w:val="en-US" w:eastAsia="zh-CN"/>
        </w:rPr>
        <w:t>并</w:t>
      </w:r>
      <w:r>
        <w:rPr>
          <w:rFonts w:ascii="Times New Roman" w:hAnsi="Times New Roman" w:eastAsia="仿宋" w:cs="Times New Roman"/>
          <w:color w:val="000000"/>
          <w:spacing w:val="7"/>
          <w:sz w:val="32"/>
          <w:szCs w:val="32"/>
          <w:highlight w:val="none"/>
        </w:rPr>
        <w:t>参照</w:t>
      </w:r>
      <w:r>
        <w:rPr>
          <w:rFonts w:ascii="Times New Roman" w:hAnsi="Times New Roman" w:eastAsia="仿宋" w:cs="Times New Roman"/>
          <w:color w:val="000000"/>
          <w:spacing w:val="-6"/>
          <w:sz w:val="32"/>
          <w:szCs w:val="32"/>
          <w:highlight w:val="none"/>
        </w:rPr>
        <w:t>《鄂托克前旗人民政府办公室关于印发鄂托克前旗上海</w:t>
      </w:r>
      <w:r>
        <w:rPr>
          <w:rFonts w:ascii="Times New Roman" w:hAnsi="Times New Roman" w:eastAsia="仿宋" w:cs="Times New Roman"/>
          <w:color w:val="000000"/>
          <w:spacing w:val="-7"/>
          <w:sz w:val="32"/>
          <w:szCs w:val="32"/>
          <w:highlight w:val="none"/>
        </w:rPr>
        <w:t>庙矿区</w:t>
      </w:r>
      <w:r>
        <w:rPr>
          <w:rFonts w:ascii="Times New Roman" w:hAnsi="Times New Roman" w:eastAsia="仿宋" w:cs="Times New Roman"/>
          <w:color w:val="000000"/>
          <w:spacing w:val="12"/>
          <w:sz w:val="32"/>
          <w:szCs w:val="32"/>
          <w:highlight w:val="none"/>
        </w:rPr>
        <w:t>塌陷区农牧民搬迁补偿安置办法</w:t>
      </w:r>
      <w:r>
        <w:rPr>
          <w:rFonts w:hint="default" w:ascii="Times New Roman" w:hAnsi="Times New Roman" w:eastAsia="仿宋" w:cs="Times New Roman"/>
          <w:color w:val="000000"/>
          <w:spacing w:val="12"/>
          <w:sz w:val="32"/>
          <w:szCs w:val="32"/>
          <w:highlight w:val="none"/>
          <w:lang w:eastAsia="zh-CN"/>
        </w:rPr>
        <w:t>（</w:t>
      </w:r>
      <w:r>
        <w:rPr>
          <w:rFonts w:hint="default" w:ascii="Times New Roman" w:hAnsi="Times New Roman" w:eastAsia="仿宋" w:cs="Times New Roman"/>
          <w:color w:val="000000"/>
          <w:spacing w:val="12"/>
          <w:sz w:val="32"/>
          <w:szCs w:val="32"/>
          <w:highlight w:val="none"/>
          <w:lang w:val="en-US" w:eastAsia="zh-CN"/>
        </w:rPr>
        <w:t>试行</w:t>
      </w:r>
      <w:r>
        <w:rPr>
          <w:rFonts w:hint="default" w:ascii="Times New Roman" w:hAnsi="Times New Roman" w:eastAsia="仿宋" w:cs="Times New Roman"/>
          <w:color w:val="000000"/>
          <w:spacing w:val="12"/>
          <w:sz w:val="32"/>
          <w:szCs w:val="32"/>
          <w:highlight w:val="none"/>
          <w:lang w:eastAsia="zh-CN"/>
        </w:rPr>
        <w:t>）</w:t>
      </w:r>
      <w:r>
        <w:rPr>
          <w:rFonts w:ascii="Times New Roman" w:hAnsi="Times New Roman" w:eastAsia="仿宋" w:cs="Times New Roman"/>
          <w:color w:val="000000"/>
          <w:spacing w:val="12"/>
          <w:sz w:val="32"/>
          <w:szCs w:val="32"/>
          <w:highlight w:val="none"/>
        </w:rPr>
        <w:t>的通知》(鄂前政发</w:t>
      </w:r>
      <w:r>
        <w:rPr>
          <w:rFonts w:ascii="Times New Roman" w:hAnsi="Times New Roman" w:eastAsia="仿宋" w:cs="Times New Roman"/>
          <w:color w:val="000000"/>
          <w:spacing w:val="8"/>
          <w:sz w:val="32"/>
          <w:szCs w:val="32"/>
          <w:highlight w:val="none"/>
        </w:rPr>
        <w:t>〔20</w:t>
      </w:r>
      <w:r>
        <w:rPr>
          <w:rFonts w:hint="default" w:ascii="Times New Roman" w:hAnsi="Times New Roman" w:eastAsia="仿宋" w:cs="Times New Roman"/>
          <w:color w:val="000000"/>
          <w:spacing w:val="8"/>
          <w:sz w:val="32"/>
          <w:szCs w:val="32"/>
          <w:highlight w:val="none"/>
          <w:lang w:val="en-US" w:eastAsia="zh-CN"/>
        </w:rPr>
        <w:t>21</w:t>
      </w:r>
      <w:r>
        <w:rPr>
          <w:rFonts w:ascii="Times New Roman" w:hAnsi="Times New Roman" w:eastAsia="仿宋" w:cs="Times New Roman"/>
          <w:color w:val="000000"/>
          <w:spacing w:val="8"/>
          <w:sz w:val="32"/>
          <w:szCs w:val="32"/>
          <w:highlight w:val="none"/>
        </w:rPr>
        <w:t>〕</w:t>
      </w:r>
      <w:r>
        <w:rPr>
          <w:rFonts w:hint="default" w:ascii="Times New Roman" w:hAnsi="Times New Roman" w:eastAsia="仿宋" w:cs="Times New Roman"/>
          <w:color w:val="000000"/>
          <w:spacing w:val="8"/>
          <w:sz w:val="32"/>
          <w:szCs w:val="32"/>
          <w:highlight w:val="none"/>
          <w:lang w:val="en-US" w:eastAsia="zh-CN"/>
        </w:rPr>
        <w:t>26</w:t>
      </w:r>
      <w:r>
        <w:rPr>
          <w:rFonts w:ascii="Times New Roman" w:hAnsi="Times New Roman" w:eastAsia="仿宋" w:cs="Times New Roman"/>
          <w:color w:val="000000"/>
          <w:spacing w:val="8"/>
          <w:sz w:val="32"/>
          <w:szCs w:val="32"/>
          <w:highlight w:val="none"/>
        </w:rPr>
        <w:t>号)文件中的补偿标准执行。</w:t>
      </w:r>
    </w:p>
    <w:p w14:paraId="1EE61AF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本办法自印发之日起</w:t>
      </w:r>
      <w:r>
        <w:rPr>
          <w:rFonts w:hint="default" w:ascii="Times New Roman" w:hAnsi="Times New Roman" w:eastAsia="仿宋_GB2312" w:cs="Times New Roman"/>
          <w:color w:val="000000"/>
          <w:sz w:val="32"/>
          <w:szCs w:val="32"/>
          <w:highlight w:val="none"/>
          <w:lang w:val="en-US" w:eastAsia="zh-CN"/>
        </w:rPr>
        <w:t>施行，</w:t>
      </w:r>
      <w:r>
        <w:rPr>
          <w:rFonts w:hint="default" w:ascii="Times New Roman" w:hAnsi="Times New Roman" w:eastAsia="仿宋_GB2312" w:cs="Times New Roman"/>
          <w:color w:val="000000"/>
          <w:sz w:val="32"/>
          <w:szCs w:val="32"/>
          <w:highlight w:val="none"/>
        </w:rPr>
        <w:t>2021年11月2日发布的《鄂托克前旗上海庙矿区塌陷区农牧民搬迁补偿安置办法（试行）》同时废止。</w:t>
      </w:r>
    </w:p>
    <w:p w14:paraId="69B22E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第</w:t>
      </w:r>
      <w:r>
        <w:rPr>
          <w:rFonts w:hint="eastAsia" w:ascii="Times New Roman" w:hAnsi="Times New Roman" w:eastAsia="黑体" w:cs="Times New Roman"/>
          <w:color w:val="000000"/>
          <w:sz w:val="32"/>
          <w:szCs w:val="32"/>
          <w:highlight w:val="none"/>
          <w:lang w:val="en-US" w:eastAsia="zh-CN"/>
        </w:rPr>
        <w:t>二十六</w:t>
      </w:r>
      <w:r>
        <w:rPr>
          <w:rFonts w:hint="default" w:ascii="Times New Roman" w:hAnsi="Times New Roman" w:eastAsia="黑体" w:cs="Times New Roman"/>
          <w:color w:val="000000"/>
          <w:sz w:val="32"/>
          <w:szCs w:val="32"/>
          <w:highlight w:val="none"/>
        </w:rPr>
        <w:t>条</w:t>
      </w:r>
      <w:r>
        <w:rPr>
          <w:rFonts w:hint="default" w:ascii="Times New Roman" w:hAnsi="Times New Roman" w:eastAsia="仿宋_GB2312" w:cs="Times New Roman"/>
          <w:color w:val="000000"/>
          <w:sz w:val="32"/>
          <w:szCs w:val="32"/>
          <w:highlight w:val="none"/>
        </w:rPr>
        <w:t xml:space="preserve"> 本办法由旗人民政府负责解释。</w:t>
      </w:r>
    </w:p>
    <w:p w14:paraId="05B643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76F02B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649AAE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44A6F5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3C7DFD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70B89F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43DE11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318963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1F93FE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0672BB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715C39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09CE303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2A2CCE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3A881B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4152132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757E30C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6D4044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0"/>
        <w:textAlignment w:val="baseline"/>
        <w:rPr>
          <w:rFonts w:hint="default" w:ascii="Times New Roman" w:hAnsi="Times New Roman" w:eastAsia="仿宋_GB2312" w:cs="Times New Roman"/>
          <w:color w:val="000000"/>
          <w:sz w:val="32"/>
          <w:szCs w:val="32"/>
          <w:highlight w:val="none"/>
        </w:rPr>
      </w:pPr>
    </w:p>
    <w:p w14:paraId="4BC050A7">
      <w:pPr>
        <w:keepNext w:val="0"/>
        <w:keepLines w:val="0"/>
        <w:pageBreakBefore w:val="0"/>
        <w:widowControl w:val="0"/>
        <w:kinsoku/>
        <w:wordWrap/>
        <w:overflowPunct/>
        <w:topLinePunct w:val="0"/>
        <w:autoSpaceDE/>
        <w:autoSpaceDN/>
        <w:bidi w:val="0"/>
        <w:adjustRightInd w:val="0"/>
        <w:snapToGrid w:val="0"/>
        <w:spacing w:line="560" w:lineRule="exact"/>
        <w:textAlignment w:val="baseline"/>
        <w:rPr>
          <w:rFonts w:hint="default" w:ascii="Times New Roman" w:hAnsi="Times New Roman" w:eastAsia="仿宋_GB2312" w:cs="Times New Roman"/>
          <w:color w:val="000000"/>
          <w:sz w:val="32"/>
          <w:szCs w:val="32"/>
          <w:highlight w:val="none"/>
        </w:rPr>
      </w:pPr>
    </w:p>
    <w:p w14:paraId="5826107B">
      <w:pPr>
        <w:keepNext w:val="0"/>
        <w:keepLines w:val="0"/>
        <w:pageBreakBefore w:val="0"/>
        <w:wordWrap/>
        <w:overflowPunct/>
        <w:topLinePunct w:val="0"/>
        <w:bidi w:val="0"/>
        <w:spacing w:before="90" w:line="560" w:lineRule="exact"/>
        <w:ind w:left="1831"/>
        <w:rPr>
          <w:rFonts w:ascii="Times New Roman" w:hAnsi="Times New Roman" w:eastAsia="宋体" w:cs="宋体"/>
          <w:color w:val="000000"/>
          <w:sz w:val="44"/>
          <w:szCs w:val="44"/>
          <w:highlight w:val="none"/>
        </w:rPr>
      </w:pPr>
      <w:r>
        <w:rPr>
          <w:rFonts w:hint="eastAsia" w:ascii="Times New Roman" w:hAnsi="Times New Roman" w:eastAsia="方正小标宋简体" w:cs="方正小标宋简体"/>
          <w:b w:val="0"/>
          <w:bCs w:val="0"/>
          <w:color w:val="000000"/>
          <w:spacing w:val="-5"/>
          <w:sz w:val="44"/>
          <w:szCs w:val="44"/>
          <w:highlight w:val="none"/>
        </w:rPr>
        <w:t>房屋及附属设施补偿指导价</w:t>
      </w:r>
    </w:p>
    <w:tbl>
      <w:tblPr>
        <w:tblStyle w:val="10"/>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5"/>
        <w:gridCol w:w="2623"/>
        <w:gridCol w:w="953"/>
        <w:gridCol w:w="2255"/>
        <w:gridCol w:w="2160"/>
      </w:tblGrid>
      <w:tr w14:paraId="7699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37" w:type="pct"/>
            <w:noWrap w:val="0"/>
            <w:vAlign w:val="center"/>
          </w:tcPr>
          <w:p w14:paraId="460AE753">
            <w:pPr>
              <w:pStyle w:val="9"/>
              <w:keepNext w:val="0"/>
              <w:keepLines w:val="0"/>
              <w:pageBreakBefore w:val="0"/>
              <w:wordWrap/>
              <w:overflowPunct/>
              <w:topLinePunct w:val="0"/>
              <w:bidi w:val="0"/>
              <w:spacing w:before="213" w:line="560" w:lineRule="exact"/>
              <w:ind w:left="108"/>
              <w:jc w:val="center"/>
              <w:rPr>
                <w:rFonts w:ascii="Times New Roman" w:hAnsi="Times New Roman"/>
                <w:color w:val="000000"/>
                <w:highlight w:val="none"/>
              </w:rPr>
            </w:pPr>
            <w:r>
              <w:rPr>
                <w:rFonts w:ascii="Times New Roman" w:hAnsi="Times New Roman"/>
                <w:b/>
                <w:bCs/>
                <w:color w:val="000000"/>
                <w:spacing w:val="-6"/>
                <w:highlight w:val="none"/>
              </w:rPr>
              <w:t>序号</w:t>
            </w:r>
          </w:p>
        </w:tc>
        <w:tc>
          <w:tcPr>
            <w:tcW w:w="1497" w:type="pct"/>
            <w:noWrap w:val="0"/>
            <w:vAlign w:val="center"/>
          </w:tcPr>
          <w:p w14:paraId="4EB3343A">
            <w:pPr>
              <w:pStyle w:val="9"/>
              <w:keepNext w:val="0"/>
              <w:keepLines w:val="0"/>
              <w:pageBreakBefore w:val="0"/>
              <w:wordWrap/>
              <w:overflowPunct/>
              <w:topLinePunct w:val="0"/>
              <w:bidi w:val="0"/>
              <w:spacing w:before="173" w:line="560" w:lineRule="exact"/>
              <w:jc w:val="center"/>
              <w:rPr>
                <w:rFonts w:ascii="Times New Roman" w:hAnsi="Times New Roman"/>
                <w:color w:val="000000"/>
                <w:highlight w:val="none"/>
              </w:rPr>
            </w:pPr>
            <w:r>
              <w:rPr>
                <w:rFonts w:ascii="Times New Roman" w:hAnsi="Times New Roman"/>
                <w:b/>
                <w:bCs/>
                <w:color w:val="000000"/>
                <w:spacing w:val="-1"/>
                <w:highlight w:val="none"/>
              </w:rPr>
              <w:t>房屋结构</w:t>
            </w:r>
          </w:p>
        </w:tc>
        <w:tc>
          <w:tcPr>
            <w:tcW w:w="544" w:type="pct"/>
            <w:noWrap w:val="0"/>
            <w:vAlign w:val="center"/>
          </w:tcPr>
          <w:p w14:paraId="3DC21FBA">
            <w:pPr>
              <w:pStyle w:val="9"/>
              <w:keepNext w:val="0"/>
              <w:keepLines w:val="0"/>
              <w:pageBreakBefore w:val="0"/>
              <w:wordWrap/>
              <w:overflowPunct/>
              <w:topLinePunct w:val="0"/>
              <w:bidi w:val="0"/>
              <w:spacing w:before="223" w:line="560" w:lineRule="exact"/>
              <w:jc w:val="center"/>
              <w:rPr>
                <w:rFonts w:ascii="Times New Roman" w:hAnsi="Times New Roman"/>
                <w:color w:val="000000"/>
                <w:highlight w:val="none"/>
              </w:rPr>
            </w:pPr>
            <w:r>
              <w:rPr>
                <w:rFonts w:ascii="Times New Roman" w:hAnsi="Times New Roman"/>
                <w:b/>
                <w:bCs/>
                <w:color w:val="000000"/>
                <w:spacing w:val="-7"/>
                <w:highlight w:val="none"/>
              </w:rPr>
              <w:t>单位</w:t>
            </w:r>
          </w:p>
        </w:tc>
        <w:tc>
          <w:tcPr>
            <w:tcW w:w="1287" w:type="pct"/>
            <w:noWrap w:val="0"/>
            <w:vAlign w:val="center"/>
          </w:tcPr>
          <w:p w14:paraId="31BF950F">
            <w:pPr>
              <w:pStyle w:val="9"/>
              <w:keepNext w:val="0"/>
              <w:keepLines w:val="0"/>
              <w:pageBreakBefore w:val="0"/>
              <w:wordWrap/>
              <w:overflowPunct/>
              <w:topLinePunct w:val="0"/>
              <w:bidi w:val="0"/>
              <w:spacing w:before="219" w:line="560" w:lineRule="exact"/>
              <w:jc w:val="center"/>
              <w:rPr>
                <w:rFonts w:hint="eastAsia" w:ascii="Times New Roman" w:hAnsi="Times New Roman" w:eastAsia="宋体"/>
                <w:color w:val="000000"/>
                <w:highlight w:val="none"/>
                <w:lang w:eastAsia="zh-CN"/>
              </w:rPr>
            </w:pPr>
            <w:r>
              <w:rPr>
                <w:rFonts w:ascii="Times New Roman" w:hAnsi="Times New Roman"/>
                <w:b/>
                <w:bCs/>
                <w:color w:val="000000"/>
                <w:spacing w:val="-6"/>
                <w:highlight w:val="none"/>
              </w:rPr>
              <w:t>参考价</w:t>
            </w:r>
            <w:r>
              <w:rPr>
                <w:rFonts w:hint="eastAsia" w:ascii="Times New Roman" w:hAnsi="Times New Roman"/>
                <w:b/>
                <w:bCs/>
                <w:color w:val="000000"/>
                <w:spacing w:val="-6"/>
                <w:highlight w:val="none"/>
                <w:lang w:eastAsia="zh-CN"/>
              </w:rPr>
              <w:t>（元）</w:t>
            </w:r>
          </w:p>
        </w:tc>
        <w:tc>
          <w:tcPr>
            <w:tcW w:w="1233" w:type="pct"/>
            <w:noWrap w:val="0"/>
            <w:vAlign w:val="center"/>
          </w:tcPr>
          <w:p w14:paraId="0952D039">
            <w:pPr>
              <w:pStyle w:val="9"/>
              <w:keepNext w:val="0"/>
              <w:keepLines w:val="0"/>
              <w:pageBreakBefore w:val="0"/>
              <w:wordWrap/>
              <w:overflowPunct/>
              <w:topLinePunct w:val="0"/>
              <w:bidi w:val="0"/>
              <w:spacing w:before="243" w:line="560" w:lineRule="exact"/>
              <w:jc w:val="center"/>
              <w:rPr>
                <w:rFonts w:ascii="Times New Roman" w:hAnsi="Times New Roman"/>
                <w:color w:val="000000"/>
                <w:highlight w:val="none"/>
              </w:rPr>
            </w:pPr>
            <w:r>
              <w:rPr>
                <w:rFonts w:ascii="Times New Roman" w:hAnsi="Times New Roman"/>
                <w:b/>
                <w:bCs/>
                <w:color w:val="000000"/>
                <w:spacing w:val="-7"/>
                <w:highlight w:val="none"/>
              </w:rPr>
              <w:t>备注</w:t>
            </w:r>
          </w:p>
        </w:tc>
      </w:tr>
      <w:tr w14:paraId="59923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437" w:type="pct"/>
            <w:noWrap w:val="0"/>
            <w:vAlign w:val="center"/>
          </w:tcPr>
          <w:p w14:paraId="38F1BC1A">
            <w:pPr>
              <w:pStyle w:val="9"/>
              <w:keepNext w:val="0"/>
              <w:keepLines w:val="0"/>
              <w:pageBreakBefore w:val="0"/>
              <w:wordWrap/>
              <w:overflowPunct/>
              <w:topLinePunct w:val="0"/>
              <w:bidi w:val="0"/>
              <w:spacing w:before="300" w:line="560" w:lineRule="exact"/>
              <w:jc w:val="center"/>
              <w:rPr>
                <w:rFonts w:ascii="Times New Roman" w:hAnsi="Times New Roman"/>
                <w:color w:val="000000"/>
                <w:highlight w:val="none"/>
              </w:rPr>
            </w:pPr>
            <w:r>
              <w:rPr>
                <w:rFonts w:ascii="Times New Roman" w:hAnsi="Times New Roman"/>
                <w:color w:val="000000"/>
                <w:highlight w:val="none"/>
              </w:rPr>
              <w:t>1</w:t>
            </w:r>
          </w:p>
        </w:tc>
        <w:tc>
          <w:tcPr>
            <w:tcW w:w="1497" w:type="pct"/>
            <w:noWrap w:val="0"/>
            <w:vAlign w:val="top"/>
          </w:tcPr>
          <w:p w14:paraId="32C78296">
            <w:pPr>
              <w:pStyle w:val="9"/>
              <w:keepNext w:val="0"/>
              <w:keepLines w:val="0"/>
              <w:pageBreakBefore w:val="0"/>
              <w:wordWrap/>
              <w:overflowPunct/>
              <w:topLinePunct w:val="0"/>
              <w:bidi w:val="0"/>
              <w:spacing w:before="212" w:line="560" w:lineRule="exact"/>
              <w:ind w:left="501"/>
              <w:rPr>
                <w:rFonts w:ascii="Times New Roman" w:hAnsi="Times New Roman"/>
                <w:color w:val="000000"/>
                <w:highlight w:val="none"/>
              </w:rPr>
            </w:pPr>
            <w:r>
              <w:rPr>
                <w:rFonts w:ascii="Times New Roman" w:hAnsi="Times New Roman"/>
                <w:color w:val="000000"/>
                <w:spacing w:val="3"/>
                <w:highlight w:val="none"/>
              </w:rPr>
              <w:t>砖混结构住房</w:t>
            </w:r>
          </w:p>
        </w:tc>
        <w:tc>
          <w:tcPr>
            <w:tcW w:w="544" w:type="pct"/>
            <w:noWrap w:val="0"/>
            <w:vAlign w:val="top"/>
          </w:tcPr>
          <w:p w14:paraId="6BF5D048">
            <w:pPr>
              <w:pStyle w:val="9"/>
              <w:keepNext w:val="0"/>
              <w:keepLines w:val="0"/>
              <w:pageBreakBefore w:val="0"/>
              <w:wordWrap/>
              <w:overflowPunct/>
              <w:topLinePunct w:val="0"/>
              <w:bidi w:val="0"/>
              <w:spacing w:before="243" w:line="560" w:lineRule="exact"/>
              <w:jc w:val="center"/>
              <w:rPr>
                <w:rFonts w:ascii="Times New Roman" w:hAnsi="Times New Roman"/>
                <w:color w:val="000000"/>
                <w:highlight w:val="none"/>
              </w:rPr>
            </w:pPr>
            <w:r>
              <w:rPr>
                <w:rFonts w:ascii="Times New Roman" w:hAnsi="Times New Roman"/>
                <w:color w:val="000000"/>
                <w:spacing w:val="-7"/>
                <w:highlight w:val="none"/>
              </w:rPr>
              <w:t>元</w:t>
            </w:r>
            <w:r>
              <w:rPr>
                <w:rFonts w:ascii="Times New Roman" w:hAnsi="Times New Roman"/>
                <w:color w:val="000000"/>
                <w:spacing w:val="-56"/>
                <w:highlight w:val="none"/>
              </w:rPr>
              <w:t xml:space="preserve"> </w:t>
            </w:r>
            <w:r>
              <w:rPr>
                <w:rFonts w:ascii="Times New Roman" w:hAnsi="Times New Roman"/>
                <w:color w:val="000000"/>
                <w:spacing w:val="-7"/>
                <w:highlight w:val="none"/>
              </w:rPr>
              <w:t>/</w:t>
            </w:r>
            <w:r>
              <w:rPr>
                <w:rFonts w:ascii="Times New Roman" w:hAnsi="Times New Roman"/>
                <w:color w:val="000000"/>
                <w:spacing w:val="-62"/>
                <w:highlight w:val="none"/>
              </w:rPr>
              <w:t xml:space="preserve"> </w:t>
            </w:r>
            <w:r>
              <w:rPr>
                <w:rFonts w:ascii="Times New Roman" w:hAnsi="Times New Roman"/>
                <w:color w:val="000000"/>
                <w:spacing w:val="-7"/>
                <w:highlight w:val="none"/>
              </w:rPr>
              <w:t>m</w:t>
            </w:r>
            <w:r>
              <w:rPr>
                <w:rFonts w:ascii="Times New Roman" w:hAnsi="Times New Roman"/>
                <w:color w:val="000000"/>
                <w:spacing w:val="-63"/>
                <w:highlight w:val="none"/>
              </w:rPr>
              <w:t xml:space="preserve"> </w:t>
            </w:r>
            <w:r>
              <w:rPr>
                <w:rFonts w:ascii="Times New Roman" w:hAnsi="Times New Roman"/>
                <w:color w:val="000000"/>
                <w:spacing w:val="-7"/>
                <w:highlight w:val="none"/>
              </w:rPr>
              <w:t>²</w:t>
            </w:r>
          </w:p>
        </w:tc>
        <w:tc>
          <w:tcPr>
            <w:tcW w:w="1287" w:type="pct"/>
            <w:noWrap w:val="0"/>
            <w:vAlign w:val="center"/>
          </w:tcPr>
          <w:p w14:paraId="0BFF309B">
            <w:pPr>
              <w:pStyle w:val="9"/>
              <w:keepNext w:val="0"/>
              <w:keepLines w:val="0"/>
              <w:pageBreakBefore w:val="0"/>
              <w:wordWrap/>
              <w:overflowPunct/>
              <w:topLinePunct w:val="0"/>
              <w:bidi w:val="0"/>
              <w:spacing w:before="88" w:line="560" w:lineRule="exact"/>
              <w:jc w:val="center"/>
              <w:rPr>
                <w:rFonts w:ascii="Times New Roman" w:hAnsi="Times New Roman"/>
                <w:color w:val="000000"/>
                <w:highlight w:val="none"/>
              </w:rPr>
            </w:pPr>
            <w:r>
              <w:rPr>
                <w:rFonts w:ascii="Times New Roman" w:hAnsi="Times New Roman"/>
                <w:color w:val="000000"/>
                <w:spacing w:val="-4"/>
                <w:position w:val="-3"/>
                <w:highlight w:val="none"/>
              </w:rPr>
              <w:t>720</w:t>
            </w:r>
          </w:p>
        </w:tc>
        <w:tc>
          <w:tcPr>
            <w:tcW w:w="1233" w:type="pct"/>
            <w:noWrap w:val="0"/>
            <w:vAlign w:val="top"/>
          </w:tcPr>
          <w:p w14:paraId="4196B083">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03E65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37" w:type="pct"/>
            <w:noWrap w:val="0"/>
            <w:vAlign w:val="center"/>
          </w:tcPr>
          <w:p w14:paraId="24D5EBDA">
            <w:pPr>
              <w:pStyle w:val="9"/>
              <w:keepNext w:val="0"/>
              <w:keepLines w:val="0"/>
              <w:pageBreakBefore w:val="0"/>
              <w:wordWrap/>
              <w:overflowPunct/>
              <w:topLinePunct w:val="0"/>
              <w:bidi w:val="0"/>
              <w:spacing w:before="88" w:line="560" w:lineRule="exact"/>
              <w:jc w:val="center"/>
              <w:rPr>
                <w:rFonts w:ascii="Times New Roman" w:hAnsi="Times New Roman"/>
                <w:color w:val="000000"/>
                <w:highlight w:val="none"/>
              </w:rPr>
            </w:pPr>
            <w:r>
              <w:rPr>
                <w:rFonts w:ascii="Times New Roman" w:hAnsi="Times New Roman"/>
                <w:color w:val="000000"/>
                <w:position w:val="-4"/>
                <w:highlight w:val="none"/>
              </w:rPr>
              <w:t>2</w:t>
            </w:r>
          </w:p>
        </w:tc>
        <w:tc>
          <w:tcPr>
            <w:tcW w:w="1497" w:type="pct"/>
            <w:noWrap w:val="0"/>
            <w:vAlign w:val="top"/>
          </w:tcPr>
          <w:p w14:paraId="18D254EA">
            <w:pPr>
              <w:pStyle w:val="9"/>
              <w:keepNext w:val="0"/>
              <w:keepLines w:val="0"/>
              <w:pageBreakBefore w:val="0"/>
              <w:wordWrap/>
              <w:overflowPunct/>
              <w:topLinePunct w:val="0"/>
              <w:bidi w:val="0"/>
              <w:spacing w:before="223" w:line="560" w:lineRule="exact"/>
              <w:ind w:left="501"/>
              <w:rPr>
                <w:rFonts w:ascii="Times New Roman" w:hAnsi="Times New Roman"/>
                <w:color w:val="000000"/>
                <w:highlight w:val="none"/>
              </w:rPr>
            </w:pPr>
            <w:r>
              <w:rPr>
                <w:rFonts w:ascii="Times New Roman" w:hAnsi="Times New Roman"/>
                <w:color w:val="000000"/>
                <w:spacing w:val="3"/>
                <w:highlight w:val="none"/>
              </w:rPr>
              <w:t>砖木结构住房</w:t>
            </w:r>
          </w:p>
        </w:tc>
        <w:tc>
          <w:tcPr>
            <w:tcW w:w="544" w:type="pct"/>
            <w:noWrap w:val="0"/>
            <w:vAlign w:val="top"/>
          </w:tcPr>
          <w:p w14:paraId="13438A6B">
            <w:pPr>
              <w:pStyle w:val="9"/>
              <w:keepNext w:val="0"/>
              <w:keepLines w:val="0"/>
              <w:pageBreakBefore w:val="0"/>
              <w:wordWrap/>
              <w:overflowPunct/>
              <w:topLinePunct w:val="0"/>
              <w:bidi w:val="0"/>
              <w:spacing w:before="252" w:line="560" w:lineRule="exact"/>
              <w:jc w:val="center"/>
              <w:rPr>
                <w:rFonts w:ascii="Times New Roman" w:hAnsi="Times New Roman"/>
                <w:color w:val="000000"/>
                <w:highlight w:val="none"/>
              </w:rPr>
            </w:pPr>
            <w:r>
              <w:rPr>
                <w:rFonts w:ascii="Times New Roman" w:hAnsi="Times New Roman"/>
                <w:color w:val="000000"/>
                <w:spacing w:val="-7"/>
                <w:highlight w:val="none"/>
              </w:rPr>
              <w:t>元</w:t>
            </w:r>
            <w:r>
              <w:rPr>
                <w:rFonts w:ascii="Times New Roman" w:hAnsi="Times New Roman"/>
                <w:color w:val="000000"/>
                <w:spacing w:val="-56"/>
                <w:highlight w:val="none"/>
              </w:rPr>
              <w:t xml:space="preserve"> </w:t>
            </w:r>
            <w:r>
              <w:rPr>
                <w:rFonts w:ascii="Times New Roman" w:hAnsi="Times New Roman"/>
                <w:color w:val="000000"/>
                <w:spacing w:val="-7"/>
                <w:highlight w:val="none"/>
              </w:rPr>
              <w:t>/</w:t>
            </w:r>
            <w:r>
              <w:rPr>
                <w:rFonts w:ascii="Times New Roman" w:hAnsi="Times New Roman"/>
                <w:color w:val="000000"/>
                <w:spacing w:val="-62"/>
                <w:highlight w:val="none"/>
              </w:rPr>
              <w:t xml:space="preserve"> </w:t>
            </w:r>
            <w:r>
              <w:rPr>
                <w:rFonts w:ascii="Times New Roman" w:hAnsi="Times New Roman"/>
                <w:color w:val="000000"/>
                <w:spacing w:val="-7"/>
                <w:highlight w:val="none"/>
              </w:rPr>
              <w:t>m</w:t>
            </w:r>
            <w:r>
              <w:rPr>
                <w:rFonts w:ascii="Times New Roman" w:hAnsi="Times New Roman"/>
                <w:color w:val="000000"/>
                <w:spacing w:val="-63"/>
                <w:highlight w:val="none"/>
              </w:rPr>
              <w:t xml:space="preserve"> </w:t>
            </w:r>
            <w:r>
              <w:rPr>
                <w:rFonts w:ascii="Times New Roman" w:hAnsi="Times New Roman"/>
                <w:color w:val="000000"/>
                <w:spacing w:val="-7"/>
                <w:highlight w:val="none"/>
              </w:rPr>
              <w:t>²</w:t>
            </w:r>
          </w:p>
        </w:tc>
        <w:tc>
          <w:tcPr>
            <w:tcW w:w="1287" w:type="pct"/>
            <w:noWrap w:val="0"/>
            <w:vAlign w:val="top"/>
          </w:tcPr>
          <w:p w14:paraId="0ED49CF7">
            <w:pPr>
              <w:pStyle w:val="9"/>
              <w:keepNext w:val="0"/>
              <w:keepLines w:val="0"/>
              <w:pageBreakBefore w:val="0"/>
              <w:wordWrap/>
              <w:overflowPunct/>
              <w:topLinePunct w:val="0"/>
              <w:bidi w:val="0"/>
              <w:spacing w:before="301" w:line="560" w:lineRule="exact"/>
              <w:ind w:left="925"/>
              <w:rPr>
                <w:rFonts w:ascii="Times New Roman" w:hAnsi="Times New Roman"/>
                <w:color w:val="000000"/>
                <w:highlight w:val="none"/>
              </w:rPr>
            </w:pPr>
            <w:r>
              <w:rPr>
                <w:rFonts w:ascii="Times New Roman" w:hAnsi="Times New Roman"/>
                <w:color w:val="000000"/>
                <w:spacing w:val="-3"/>
                <w:position w:val="-3"/>
                <w:highlight w:val="none"/>
              </w:rPr>
              <w:t>480</w:t>
            </w:r>
          </w:p>
        </w:tc>
        <w:tc>
          <w:tcPr>
            <w:tcW w:w="1233" w:type="pct"/>
            <w:noWrap w:val="0"/>
            <w:vAlign w:val="top"/>
          </w:tcPr>
          <w:p w14:paraId="169F07A3">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3D7E4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37" w:type="pct"/>
            <w:noWrap w:val="0"/>
            <w:vAlign w:val="top"/>
          </w:tcPr>
          <w:p w14:paraId="7177EA97">
            <w:pPr>
              <w:pStyle w:val="9"/>
              <w:keepNext w:val="0"/>
              <w:keepLines w:val="0"/>
              <w:pageBreakBefore w:val="0"/>
              <w:wordWrap/>
              <w:overflowPunct/>
              <w:topLinePunct w:val="0"/>
              <w:bidi w:val="0"/>
              <w:spacing w:before="302" w:line="560" w:lineRule="exact"/>
              <w:ind w:left="304"/>
              <w:rPr>
                <w:rFonts w:ascii="Times New Roman" w:hAnsi="Times New Roman"/>
                <w:color w:val="000000"/>
                <w:highlight w:val="none"/>
              </w:rPr>
            </w:pPr>
            <w:r>
              <w:rPr>
                <w:rFonts w:ascii="Times New Roman" w:hAnsi="Times New Roman"/>
                <w:color w:val="000000"/>
                <w:position w:val="-3"/>
                <w:highlight w:val="none"/>
              </w:rPr>
              <w:t>3</w:t>
            </w:r>
          </w:p>
        </w:tc>
        <w:tc>
          <w:tcPr>
            <w:tcW w:w="1497" w:type="pct"/>
            <w:noWrap w:val="0"/>
            <w:vAlign w:val="top"/>
          </w:tcPr>
          <w:p w14:paraId="32164F0F">
            <w:pPr>
              <w:pStyle w:val="9"/>
              <w:keepNext w:val="0"/>
              <w:keepLines w:val="0"/>
              <w:pageBreakBefore w:val="0"/>
              <w:wordWrap/>
              <w:overflowPunct/>
              <w:topLinePunct w:val="0"/>
              <w:bidi w:val="0"/>
              <w:spacing w:before="223" w:line="560" w:lineRule="exact"/>
              <w:ind w:left="501"/>
              <w:rPr>
                <w:rFonts w:ascii="Times New Roman" w:hAnsi="Times New Roman"/>
                <w:color w:val="000000"/>
                <w:highlight w:val="none"/>
              </w:rPr>
            </w:pPr>
            <w:r>
              <w:rPr>
                <w:rFonts w:ascii="Times New Roman" w:hAnsi="Times New Roman"/>
                <w:color w:val="000000"/>
                <w:spacing w:val="3"/>
                <w:highlight w:val="none"/>
              </w:rPr>
              <w:t>土木结构住房</w:t>
            </w:r>
          </w:p>
        </w:tc>
        <w:tc>
          <w:tcPr>
            <w:tcW w:w="544" w:type="pct"/>
            <w:noWrap w:val="0"/>
            <w:vAlign w:val="top"/>
          </w:tcPr>
          <w:p w14:paraId="1E88E0D2">
            <w:pPr>
              <w:pStyle w:val="9"/>
              <w:keepNext w:val="0"/>
              <w:keepLines w:val="0"/>
              <w:pageBreakBefore w:val="0"/>
              <w:wordWrap/>
              <w:overflowPunct/>
              <w:topLinePunct w:val="0"/>
              <w:bidi w:val="0"/>
              <w:spacing w:before="223" w:line="560" w:lineRule="exact"/>
              <w:jc w:val="center"/>
              <w:rPr>
                <w:rFonts w:ascii="Times New Roman" w:hAnsi="Times New Roman"/>
                <w:color w:val="000000"/>
                <w:highlight w:val="none"/>
              </w:rPr>
            </w:pPr>
            <w:r>
              <w:rPr>
                <w:rFonts w:ascii="Times New Roman" w:hAnsi="Times New Roman"/>
                <w:color w:val="000000"/>
                <w:spacing w:val="7"/>
                <w:highlight w:val="none"/>
              </w:rPr>
              <w:t>元/间</w:t>
            </w:r>
          </w:p>
        </w:tc>
        <w:tc>
          <w:tcPr>
            <w:tcW w:w="1287" w:type="pct"/>
            <w:noWrap w:val="0"/>
            <w:vAlign w:val="top"/>
          </w:tcPr>
          <w:p w14:paraId="663437E2">
            <w:pPr>
              <w:pStyle w:val="9"/>
              <w:keepNext w:val="0"/>
              <w:keepLines w:val="0"/>
              <w:pageBreakBefore w:val="0"/>
              <w:wordWrap/>
              <w:overflowPunct/>
              <w:topLinePunct w:val="0"/>
              <w:bidi w:val="0"/>
              <w:spacing w:before="321" w:line="560" w:lineRule="exact"/>
              <w:ind w:left="854"/>
              <w:rPr>
                <w:rFonts w:ascii="Times New Roman" w:hAnsi="Times New Roman"/>
                <w:color w:val="000000"/>
                <w:highlight w:val="none"/>
              </w:rPr>
            </w:pPr>
            <w:r>
              <w:rPr>
                <w:rFonts w:ascii="Times New Roman" w:hAnsi="Times New Roman"/>
                <w:color w:val="000000"/>
                <w:spacing w:val="-6"/>
                <w:position w:val="-3"/>
                <w:highlight w:val="none"/>
              </w:rPr>
              <w:t>1800</w:t>
            </w:r>
          </w:p>
        </w:tc>
        <w:tc>
          <w:tcPr>
            <w:tcW w:w="1233" w:type="pct"/>
            <w:noWrap w:val="0"/>
            <w:vAlign w:val="top"/>
          </w:tcPr>
          <w:p w14:paraId="75EA79D9">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736E8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37" w:type="pct"/>
            <w:noWrap w:val="0"/>
            <w:vAlign w:val="top"/>
          </w:tcPr>
          <w:p w14:paraId="1F682BCF">
            <w:pPr>
              <w:pStyle w:val="9"/>
              <w:keepNext w:val="0"/>
              <w:keepLines w:val="0"/>
              <w:pageBreakBefore w:val="0"/>
              <w:wordWrap/>
              <w:overflowPunct/>
              <w:topLinePunct w:val="0"/>
              <w:bidi w:val="0"/>
              <w:spacing w:before="213" w:line="560" w:lineRule="exact"/>
              <w:ind w:left="304"/>
              <w:rPr>
                <w:rFonts w:ascii="Times New Roman" w:hAnsi="Times New Roman"/>
                <w:color w:val="000000"/>
                <w:highlight w:val="none"/>
              </w:rPr>
            </w:pPr>
            <w:r>
              <w:rPr>
                <w:rFonts w:ascii="Times New Roman" w:hAnsi="Times New Roman"/>
                <w:color w:val="000000"/>
                <w:highlight w:val="none"/>
              </w:rPr>
              <w:t>4</w:t>
            </w:r>
          </w:p>
        </w:tc>
        <w:tc>
          <w:tcPr>
            <w:tcW w:w="1497" w:type="pct"/>
            <w:noWrap w:val="0"/>
            <w:vAlign w:val="top"/>
          </w:tcPr>
          <w:p w14:paraId="08420695">
            <w:pPr>
              <w:pStyle w:val="9"/>
              <w:keepNext w:val="0"/>
              <w:keepLines w:val="0"/>
              <w:pageBreakBefore w:val="0"/>
              <w:wordWrap/>
              <w:overflowPunct/>
              <w:topLinePunct w:val="0"/>
              <w:bidi w:val="0"/>
              <w:spacing w:before="144" w:line="560" w:lineRule="exact"/>
              <w:ind w:left="501"/>
              <w:rPr>
                <w:rFonts w:ascii="Times New Roman" w:hAnsi="Times New Roman"/>
                <w:color w:val="000000"/>
                <w:highlight w:val="none"/>
              </w:rPr>
            </w:pPr>
            <w:r>
              <w:rPr>
                <w:rFonts w:ascii="Times New Roman" w:hAnsi="Times New Roman"/>
                <w:color w:val="000000"/>
                <w:spacing w:val="2"/>
                <w:highlight w:val="none"/>
              </w:rPr>
              <w:t>砖木结构羊棚</w:t>
            </w:r>
          </w:p>
        </w:tc>
        <w:tc>
          <w:tcPr>
            <w:tcW w:w="544" w:type="pct"/>
            <w:noWrap w:val="0"/>
            <w:vAlign w:val="top"/>
          </w:tcPr>
          <w:p w14:paraId="1C997C8E">
            <w:pPr>
              <w:pStyle w:val="9"/>
              <w:keepNext w:val="0"/>
              <w:keepLines w:val="0"/>
              <w:pageBreakBefore w:val="0"/>
              <w:wordWrap/>
              <w:overflowPunct/>
              <w:topLinePunct w:val="0"/>
              <w:bidi w:val="0"/>
              <w:spacing w:before="144" w:line="560" w:lineRule="exact"/>
              <w:jc w:val="center"/>
              <w:rPr>
                <w:rFonts w:ascii="Times New Roman" w:hAnsi="Times New Roman"/>
                <w:color w:val="000000"/>
                <w:highlight w:val="none"/>
              </w:rPr>
            </w:pPr>
            <w:r>
              <w:rPr>
                <w:rFonts w:ascii="Times New Roman" w:hAnsi="Times New Roman"/>
                <w:color w:val="000000"/>
                <w:spacing w:val="-7"/>
                <w:highlight w:val="none"/>
              </w:rPr>
              <w:t>元</w:t>
            </w:r>
            <w:r>
              <w:rPr>
                <w:rFonts w:ascii="Times New Roman" w:hAnsi="Times New Roman"/>
                <w:color w:val="000000"/>
                <w:spacing w:val="-56"/>
                <w:highlight w:val="none"/>
              </w:rPr>
              <w:t xml:space="preserve"> </w:t>
            </w:r>
            <w:r>
              <w:rPr>
                <w:rFonts w:ascii="Times New Roman" w:hAnsi="Times New Roman"/>
                <w:color w:val="000000"/>
                <w:spacing w:val="-7"/>
                <w:highlight w:val="none"/>
              </w:rPr>
              <w:t>/</w:t>
            </w:r>
            <w:r>
              <w:rPr>
                <w:rFonts w:ascii="Times New Roman" w:hAnsi="Times New Roman"/>
                <w:color w:val="000000"/>
                <w:spacing w:val="-62"/>
                <w:highlight w:val="none"/>
              </w:rPr>
              <w:t xml:space="preserve"> </w:t>
            </w:r>
            <w:r>
              <w:rPr>
                <w:rFonts w:ascii="Times New Roman" w:hAnsi="Times New Roman"/>
                <w:color w:val="000000"/>
                <w:spacing w:val="-7"/>
                <w:highlight w:val="none"/>
              </w:rPr>
              <w:t>m</w:t>
            </w:r>
            <w:r>
              <w:rPr>
                <w:rFonts w:ascii="Times New Roman" w:hAnsi="Times New Roman"/>
                <w:color w:val="000000"/>
                <w:spacing w:val="-63"/>
                <w:highlight w:val="none"/>
              </w:rPr>
              <w:t xml:space="preserve"> </w:t>
            </w:r>
            <w:r>
              <w:rPr>
                <w:rFonts w:ascii="Times New Roman" w:hAnsi="Times New Roman"/>
                <w:color w:val="000000"/>
                <w:spacing w:val="-7"/>
                <w:highlight w:val="none"/>
              </w:rPr>
              <w:t>²</w:t>
            </w:r>
          </w:p>
        </w:tc>
        <w:tc>
          <w:tcPr>
            <w:tcW w:w="1287" w:type="pct"/>
            <w:noWrap w:val="0"/>
            <w:vAlign w:val="top"/>
          </w:tcPr>
          <w:p w14:paraId="0E000FB7">
            <w:pPr>
              <w:pStyle w:val="9"/>
              <w:keepNext w:val="0"/>
              <w:keepLines w:val="0"/>
              <w:pageBreakBefore w:val="0"/>
              <w:wordWrap/>
              <w:overflowPunct/>
              <w:topLinePunct w:val="0"/>
              <w:bidi w:val="0"/>
              <w:spacing w:before="213" w:line="560" w:lineRule="exact"/>
              <w:ind w:left="925"/>
              <w:rPr>
                <w:rFonts w:ascii="Times New Roman" w:hAnsi="Times New Roman"/>
                <w:color w:val="000000"/>
                <w:highlight w:val="none"/>
              </w:rPr>
            </w:pPr>
            <w:r>
              <w:rPr>
                <w:rFonts w:ascii="Times New Roman" w:hAnsi="Times New Roman"/>
                <w:color w:val="000000"/>
                <w:spacing w:val="-4"/>
                <w:highlight w:val="none"/>
              </w:rPr>
              <w:t>360</w:t>
            </w:r>
          </w:p>
        </w:tc>
        <w:tc>
          <w:tcPr>
            <w:tcW w:w="1233" w:type="pct"/>
            <w:noWrap w:val="0"/>
            <w:vAlign w:val="top"/>
          </w:tcPr>
          <w:p w14:paraId="4B8BFAB8">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727ED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37" w:type="pct"/>
            <w:noWrap w:val="0"/>
            <w:vAlign w:val="top"/>
          </w:tcPr>
          <w:p w14:paraId="66E58801">
            <w:pPr>
              <w:pStyle w:val="9"/>
              <w:keepNext w:val="0"/>
              <w:keepLines w:val="0"/>
              <w:pageBreakBefore w:val="0"/>
              <w:wordWrap/>
              <w:overflowPunct/>
              <w:topLinePunct w:val="0"/>
              <w:bidi w:val="0"/>
              <w:spacing w:before="206" w:line="560" w:lineRule="exact"/>
              <w:ind w:left="304"/>
              <w:rPr>
                <w:rFonts w:ascii="Times New Roman" w:hAnsi="Times New Roman"/>
                <w:color w:val="000000"/>
                <w:highlight w:val="none"/>
              </w:rPr>
            </w:pPr>
            <w:r>
              <w:rPr>
                <w:rFonts w:ascii="Times New Roman" w:hAnsi="Times New Roman"/>
                <w:color w:val="000000"/>
                <w:highlight w:val="none"/>
              </w:rPr>
              <w:t>5</w:t>
            </w:r>
          </w:p>
        </w:tc>
        <w:tc>
          <w:tcPr>
            <w:tcW w:w="1497" w:type="pct"/>
            <w:noWrap w:val="0"/>
            <w:vAlign w:val="top"/>
          </w:tcPr>
          <w:p w14:paraId="45F76A05">
            <w:pPr>
              <w:pStyle w:val="9"/>
              <w:keepNext w:val="0"/>
              <w:keepLines w:val="0"/>
              <w:pageBreakBefore w:val="0"/>
              <w:wordWrap/>
              <w:overflowPunct/>
              <w:topLinePunct w:val="0"/>
              <w:bidi w:val="0"/>
              <w:spacing w:before="135" w:line="560" w:lineRule="exact"/>
              <w:ind w:left="501"/>
              <w:rPr>
                <w:rFonts w:ascii="Times New Roman" w:hAnsi="Times New Roman"/>
                <w:color w:val="000000"/>
                <w:highlight w:val="none"/>
              </w:rPr>
            </w:pPr>
            <w:r>
              <w:rPr>
                <w:rFonts w:ascii="Times New Roman" w:hAnsi="Times New Roman"/>
                <w:color w:val="000000"/>
                <w:spacing w:val="2"/>
                <w:highlight w:val="none"/>
              </w:rPr>
              <w:t>土木结构羊棚</w:t>
            </w:r>
          </w:p>
        </w:tc>
        <w:tc>
          <w:tcPr>
            <w:tcW w:w="544" w:type="pct"/>
            <w:noWrap w:val="0"/>
            <w:vAlign w:val="top"/>
          </w:tcPr>
          <w:p w14:paraId="5FFE3EAA">
            <w:pPr>
              <w:pStyle w:val="9"/>
              <w:keepNext w:val="0"/>
              <w:keepLines w:val="0"/>
              <w:pageBreakBefore w:val="0"/>
              <w:wordWrap/>
              <w:overflowPunct/>
              <w:topLinePunct w:val="0"/>
              <w:bidi w:val="0"/>
              <w:spacing w:before="135" w:line="560" w:lineRule="exact"/>
              <w:jc w:val="center"/>
              <w:rPr>
                <w:rFonts w:ascii="Times New Roman" w:hAnsi="Times New Roman"/>
                <w:color w:val="000000"/>
                <w:highlight w:val="none"/>
              </w:rPr>
            </w:pPr>
            <w:r>
              <w:rPr>
                <w:rFonts w:ascii="Times New Roman" w:hAnsi="Times New Roman"/>
                <w:color w:val="000000"/>
                <w:spacing w:val="-7"/>
                <w:highlight w:val="none"/>
              </w:rPr>
              <w:t>元</w:t>
            </w:r>
            <w:r>
              <w:rPr>
                <w:rFonts w:ascii="Times New Roman" w:hAnsi="Times New Roman"/>
                <w:color w:val="000000"/>
                <w:spacing w:val="-56"/>
                <w:highlight w:val="none"/>
              </w:rPr>
              <w:t xml:space="preserve"> </w:t>
            </w:r>
            <w:r>
              <w:rPr>
                <w:rFonts w:ascii="Times New Roman" w:hAnsi="Times New Roman"/>
                <w:color w:val="000000"/>
                <w:spacing w:val="-7"/>
                <w:highlight w:val="none"/>
              </w:rPr>
              <w:t>/</w:t>
            </w:r>
            <w:r>
              <w:rPr>
                <w:rFonts w:ascii="Times New Roman" w:hAnsi="Times New Roman"/>
                <w:color w:val="000000"/>
                <w:spacing w:val="-62"/>
                <w:highlight w:val="none"/>
              </w:rPr>
              <w:t xml:space="preserve"> </w:t>
            </w:r>
            <w:r>
              <w:rPr>
                <w:rFonts w:ascii="Times New Roman" w:hAnsi="Times New Roman"/>
                <w:color w:val="000000"/>
                <w:spacing w:val="-7"/>
                <w:highlight w:val="none"/>
              </w:rPr>
              <w:t>m</w:t>
            </w:r>
            <w:r>
              <w:rPr>
                <w:rFonts w:ascii="Times New Roman" w:hAnsi="Times New Roman"/>
                <w:color w:val="000000"/>
                <w:spacing w:val="-63"/>
                <w:highlight w:val="none"/>
              </w:rPr>
              <w:t xml:space="preserve"> </w:t>
            </w:r>
            <w:r>
              <w:rPr>
                <w:rFonts w:ascii="Times New Roman" w:hAnsi="Times New Roman"/>
                <w:color w:val="000000"/>
                <w:spacing w:val="-7"/>
                <w:highlight w:val="none"/>
              </w:rPr>
              <w:t>²</w:t>
            </w:r>
          </w:p>
        </w:tc>
        <w:tc>
          <w:tcPr>
            <w:tcW w:w="1287" w:type="pct"/>
            <w:noWrap w:val="0"/>
            <w:vAlign w:val="top"/>
          </w:tcPr>
          <w:p w14:paraId="76BEE6C0">
            <w:pPr>
              <w:pStyle w:val="9"/>
              <w:keepNext w:val="0"/>
              <w:keepLines w:val="0"/>
              <w:pageBreakBefore w:val="0"/>
              <w:wordWrap/>
              <w:overflowPunct/>
              <w:topLinePunct w:val="0"/>
              <w:bidi w:val="0"/>
              <w:spacing w:before="204" w:line="560" w:lineRule="exact"/>
              <w:ind w:left="925"/>
              <w:rPr>
                <w:rFonts w:ascii="Times New Roman" w:hAnsi="Times New Roman"/>
                <w:color w:val="000000"/>
                <w:highlight w:val="none"/>
              </w:rPr>
            </w:pPr>
            <w:r>
              <w:rPr>
                <w:rFonts w:ascii="Times New Roman" w:hAnsi="Times New Roman"/>
                <w:color w:val="000000"/>
                <w:spacing w:val="-4"/>
                <w:highlight w:val="none"/>
              </w:rPr>
              <w:t>270</w:t>
            </w:r>
          </w:p>
        </w:tc>
        <w:tc>
          <w:tcPr>
            <w:tcW w:w="1233" w:type="pct"/>
            <w:noWrap w:val="0"/>
            <w:vAlign w:val="top"/>
          </w:tcPr>
          <w:p w14:paraId="41C5761C">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68082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37" w:type="pct"/>
            <w:noWrap w:val="0"/>
            <w:vAlign w:val="top"/>
          </w:tcPr>
          <w:p w14:paraId="710B66C4">
            <w:pPr>
              <w:pStyle w:val="9"/>
              <w:keepNext w:val="0"/>
              <w:keepLines w:val="0"/>
              <w:pageBreakBefore w:val="0"/>
              <w:wordWrap/>
              <w:overflowPunct/>
              <w:topLinePunct w:val="0"/>
              <w:bidi w:val="0"/>
              <w:spacing w:before="214" w:line="560" w:lineRule="exact"/>
              <w:ind w:left="304"/>
              <w:rPr>
                <w:rFonts w:ascii="Times New Roman" w:hAnsi="Times New Roman"/>
                <w:color w:val="000000"/>
                <w:highlight w:val="none"/>
              </w:rPr>
            </w:pPr>
            <w:r>
              <w:rPr>
                <w:rFonts w:ascii="Times New Roman" w:hAnsi="Times New Roman"/>
                <w:color w:val="000000"/>
                <w:highlight w:val="none"/>
              </w:rPr>
              <w:t>6</w:t>
            </w:r>
          </w:p>
        </w:tc>
        <w:tc>
          <w:tcPr>
            <w:tcW w:w="1497" w:type="pct"/>
            <w:noWrap w:val="0"/>
            <w:vAlign w:val="top"/>
          </w:tcPr>
          <w:p w14:paraId="1E6AB142">
            <w:pPr>
              <w:pStyle w:val="9"/>
              <w:keepNext w:val="0"/>
              <w:keepLines w:val="0"/>
              <w:pageBreakBefore w:val="0"/>
              <w:wordWrap/>
              <w:overflowPunct/>
              <w:topLinePunct w:val="0"/>
              <w:bidi w:val="0"/>
              <w:spacing w:before="145" w:line="560" w:lineRule="exact"/>
              <w:ind w:left="771"/>
              <w:rPr>
                <w:rFonts w:ascii="Times New Roman" w:hAnsi="Times New Roman"/>
                <w:color w:val="000000"/>
                <w:highlight w:val="none"/>
              </w:rPr>
            </w:pPr>
            <w:r>
              <w:rPr>
                <w:rFonts w:ascii="Times New Roman" w:hAnsi="Times New Roman"/>
                <w:color w:val="000000"/>
                <w:spacing w:val="4"/>
                <w:highlight w:val="none"/>
              </w:rPr>
              <w:t>饲草料房</w:t>
            </w:r>
          </w:p>
        </w:tc>
        <w:tc>
          <w:tcPr>
            <w:tcW w:w="544" w:type="pct"/>
            <w:noWrap w:val="0"/>
            <w:vAlign w:val="top"/>
          </w:tcPr>
          <w:p w14:paraId="7590BAD5">
            <w:pPr>
              <w:pStyle w:val="9"/>
              <w:keepNext w:val="0"/>
              <w:keepLines w:val="0"/>
              <w:pageBreakBefore w:val="0"/>
              <w:wordWrap/>
              <w:overflowPunct/>
              <w:topLinePunct w:val="0"/>
              <w:bidi w:val="0"/>
              <w:spacing w:before="145" w:line="560" w:lineRule="exact"/>
              <w:jc w:val="center"/>
              <w:rPr>
                <w:rFonts w:ascii="Times New Roman" w:hAnsi="Times New Roman"/>
                <w:color w:val="000000"/>
                <w:highlight w:val="none"/>
              </w:rPr>
            </w:pPr>
            <w:r>
              <w:rPr>
                <w:rFonts w:ascii="Times New Roman" w:hAnsi="Times New Roman"/>
                <w:color w:val="000000"/>
                <w:spacing w:val="-7"/>
                <w:highlight w:val="none"/>
              </w:rPr>
              <w:t>元</w:t>
            </w:r>
            <w:r>
              <w:rPr>
                <w:rFonts w:ascii="Times New Roman" w:hAnsi="Times New Roman"/>
                <w:color w:val="000000"/>
                <w:spacing w:val="-56"/>
                <w:highlight w:val="none"/>
              </w:rPr>
              <w:t xml:space="preserve"> </w:t>
            </w:r>
            <w:r>
              <w:rPr>
                <w:rFonts w:ascii="Times New Roman" w:hAnsi="Times New Roman"/>
                <w:color w:val="000000"/>
                <w:spacing w:val="-7"/>
                <w:highlight w:val="none"/>
              </w:rPr>
              <w:t>/</w:t>
            </w:r>
            <w:r>
              <w:rPr>
                <w:rFonts w:ascii="Times New Roman" w:hAnsi="Times New Roman"/>
                <w:color w:val="000000"/>
                <w:spacing w:val="-62"/>
                <w:highlight w:val="none"/>
              </w:rPr>
              <w:t xml:space="preserve"> </w:t>
            </w:r>
            <w:r>
              <w:rPr>
                <w:rFonts w:ascii="Times New Roman" w:hAnsi="Times New Roman"/>
                <w:color w:val="000000"/>
                <w:spacing w:val="-7"/>
                <w:highlight w:val="none"/>
              </w:rPr>
              <w:t>m</w:t>
            </w:r>
            <w:r>
              <w:rPr>
                <w:rFonts w:ascii="Times New Roman" w:hAnsi="Times New Roman"/>
                <w:color w:val="000000"/>
                <w:spacing w:val="-63"/>
                <w:highlight w:val="none"/>
              </w:rPr>
              <w:t xml:space="preserve"> </w:t>
            </w:r>
            <w:r>
              <w:rPr>
                <w:rFonts w:ascii="Times New Roman" w:hAnsi="Times New Roman"/>
                <w:color w:val="000000"/>
                <w:spacing w:val="-7"/>
                <w:highlight w:val="none"/>
              </w:rPr>
              <w:t>²</w:t>
            </w:r>
          </w:p>
        </w:tc>
        <w:tc>
          <w:tcPr>
            <w:tcW w:w="1287" w:type="pct"/>
            <w:noWrap w:val="0"/>
            <w:vAlign w:val="top"/>
          </w:tcPr>
          <w:p w14:paraId="1FC28185">
            <w:pPr>
              <w:pStyle w:val="9"/>
              <w:keepNext w:val="0"/>
              <w:keepLines w:val="0"/>
              <w:pageBreakBefore w:val="0"/>
              <w:wordWrap/>
              <w:overflowPunct/>
              <w:topLinePunct w:val="0"/>
              <w:bidi w:val="0"/>
              <w:spacing w:before="214" w:line="560" w:lineRule="exact"/>
              <w:ind w:left="925"/>
              <w:rPr>
                <w:rFonts w:ascii="Times New Roman" w:hAnsi="Times New Roman"/>
                <w:color w:val="000000"/>
                <w:highlight w:val="none"/>
              </w:rPr>
            </w:pPr>
            <w:r>
              <w:rPr>
                <w:rFonts w:ascii="Times New Roman" w:hAnsi="Times New Roman"/>
                <w:color w:val="000000"/>
                <w:spacing w:val="-4"/>
                <w:highlight w:val="none"/>
              </w:rPr>
              <w:t>520</w:t>
            </w:r>
          </w:p>
        </w:tc>
        <w:tc>
          <w:tcPr>
            <w:tcW w:w="1233" w:type="pct"/>
            <w:noWrap w:val="0"/>
            <w:vAlign w:val="top"/>
          </w:tcPr>
          <w:p w14:paraId="7965C579">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24003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37" w:type="pct"/>
            <w:noWrap w:val="0"/>
            <w:vAlign w:val="center"/>
          </w:tcPr>
          <w:p w14:paraId="79CA54BF">
            <w:pPr>
              <w:pStyle w:val="9"/>
              <w:keepNext w:val="0"/>
              <w:keepLines w:val="0"/>
              <w:pageBreakBefore w:val="0"/>
              <w:wordWrap/>
              <w:overflowPunct/>
              <w:topLinePunct w:val="0"/>
              <w:bidi w:val="0"/>
              <w:spacing w:before="216" w:line="560" w:lineRule="exact"/>
              <w:jc w:val="center"/>
              <w:rPr>
                <w:rFonts w:hint="eastAsia" w:ascii="Times New Roman" w:hAnsi="Times New Roman" w:eastAsia="宋体"/>
                <w:color w:val="000000"/>
                <w:highlight w:val="none"/>
                <w:lang w:eastAsia="zh-CN"/>
              </w:rPr>
            </w:pPr>
            <w:r>
              <w:rPr>
                <w:rFonts w:hint="eastAsia" w:ascii="Times New Roman" w:hAnsi="Times New Roman"/>
                <w:color w:val="000000"/>
                <w:spacing w:val="-8"/>
                <w:highlight w:val="none"/>
                <w:lang w:val="en-US" w:eastAsia="zh-CN"/>
              </w:rPr>
              <w:t>7</w:t>
            </w:r>
          </w:p>
        </w:tc>
        <w:tc>
          <w:tcPr>
            <w:tcW w:w="1497" w:type="pct"/>
            <w:noWrap w:val="0"/>
            <w:vAlign w:val="top"/>
          </w:tcPr>
          <w:p w14:paraId="355E119F">
            <w:pPr>
              <w:pStyle w:val="9"/>
              <w:keepNext w:val="0"/>
              <w:keepLines w:val="0"/>
              <w:pageBreakBefore w:val="0"/>
              <w:wordWrap/>
              <w:overflowPunct/>
              <w:topLinePunct w:val="0"/>
              <w:bidi w:val="0"/>
              <w:spacing w:before="148" w:line="560" w:lineRule="exact"/>
              <w:ind w:left="771"/>
              <w:rPr>
                <w:rFonts w:ascii="Times New Roman" w:hAnsi="Times New Roman"/>
                <w:color w:val="000000"/>
                <w:highlight w:val="none"/>
              </w:rPr>
            </w:pPr>
            <w:r>
              <w:rPr>
                <w:rFonts w:ascii="Times New Roman" w:hAnsi="Times New Roman"/>
                <w:color w:val="000000"/>
                <w:spacing w:val="3"/>
                <w:highlight w:val="none"/>
              </w:rPr>
              <w:t>单人坟墓</w:t>
            </w:r>
          </w:p>
        </w:tc>
        <w:tc>
          <w:tcPr>
            <w:tcW w:w="544" w:type="pct"/>
            <w:noWrap w:val="0"/>
            <w:vAlign w:val="top"/>
          </w:tcPr>
          <w:p w14:paraId="0B597EF7">
            <w:pPr>
              <w:pStyle w:val="9"/>
              <w:keepNext w:val="0"/>
              <w:keepLines w:val="0"/>
              <w:pageBreakBefore w:val="0"/>
              <w:wordWrap/>
              <w:overflowPunct/>
              <w:topLinePunct w:val="0"/>
              <w:bidi w:val="0"/>
              <w:spacing w:before="148" w:line="560" w:lineRule="exact"/>
              <w:jc w:val="center"/>
              <w:rPr>
                <w:rFonts w:ascii="Times New Roman" w:hAnsi="Times New Roman"/>
                <w:color w:val="000000"/>
                <w:highlight w:val="none"/>
              </w:rPr>
            </w:pPr>
            <w:r>
              <w:rPr>
                <w:rFonts w:ascii="Times New Roman" w:hAnsi="Times New Roman"/>
                <w:color w:val="000000"/>
                <w:spacing w:val="3"/>
                <w:highlight w:val="none"/>
              </w:rPr>
              <w:t>元/宗</w:t>
            </w:r>
          </w:p>
        </w:tc>
        <w:tc>
          <w:tcPr>
            <w:tcW w:w="1287" w:type="pct"/>
            <w:noWrap w:val="0"/>
            <w:vAlign w:val="top"/>
          </w:tcPr>
          <w:p w14:paraId="66442A70">
            <w:pPr>
              <w:pStyle w:val="9"/>
              <w:keepNext w:val="0"/>
              <w:keepLines w:val="0"/>
              <w:pageBreakBefore w:val="0"/>
              <w:wordWrap/>
              <w:overflowPunct/>
              <w:topLinePunct w:val="0"/>
              <w:bidi w:val="0"/>
              <w:spacing w:before="216" w:line="560" w:lineRule="exact"/>
              <w:ind w:left="785"/>
              <w:rPr>
                <w:rFonts w:ascii="Times New Roman" w:hAnsi="Times New Roman"/>
                <w:color w:val="000000"/>
                <w:highlight w:val="none"/>
              </w:rPr>
            </w:pPr>
            <w:r>
              <w:rPr>
                <w:rFonts w:ascii="Times New Roman" w:hAnsi="Times New Roman"/>
                <w:color w:val="000000"/>
                <w:spacing w:val="-5"/>
                <w:highlight w:val="none"/>
              </w:rPr>
              <w:t>15000</w:t>
            </w:r>
          </w:p>
        </w:tc>
        <w:tc>
          <w:tcPr>
            <w:tcW w:w="1233" w:type="pct"/>
            <w:noWrap w:val="0"/>
            <w:vAlign w:val="top"/>
          </w:tcPr>
          <w:p w14:paraId="5F22B6DD">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6B7C8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437" w:type="pct"/>
            <w:noWrap w:val="0"/>
            <w:vAlign w:val="center"/>
          </w:tcPr>
          <w:p w14:paraId="6A322B81">
            <w:pPr>
              <w:pStyle w:val="9"/>
              <w:keepNext w:val="0"/>
              <w:keepLines w:val="0"/>
              <w:pageBreakBefore w:val="0"/>
              <w:wordWrap/>
              <w:overflowPunct/>
              <w:topLinePunct w:val="0"/>
              <w:bidi w:val="0"/>
              <w:spacing w:before="216" w:line="560" w:lineRule="exact"/>
              <w:jc w:val="center"/>
              <w:rPr>
                <w:rFonts w:hint="eastAsia" w:ascii="Times New Roman" w:hAnsi="Times New Roman" w:eastAsia="宋体"/>
                <w:color w:val="000000"/>
                <w:highlight w:val="none"/>
                <w:lang w:eastAsia="zh-CN"/>
              </w:rPr>
            </w:pPr>
            <w:r>
              <w:rPr>
                <w:rFonts w:hint="eastAsia" w:ascii="Times New Roman" w:hAnsi="Times New Roman"/>
                <w:color w:val="000000"/>
                <w:spacing w:val="-8"/>
                <w:highlight w:val="none"/>
                <w:lang w:val="en-US" w:eastAsia="zh-CN"/>
              </w:rPr>
              <w:t>8</w:t>
            </w:r>
          </w:p>
        </w:tc>
        <w:tc>
          <w:tcPr>
            <w:tcW w:w="1497" w:type="pct"/>
            <w:noWrap w:val="0"/>
            <w:vAlign w:val="top"/>
          </w:tcPr>
          <w:p w14:paraId="6985B808">
            <w:pPr>
              <w:pStyle w:val="9"/>
              <w:keepNext w:val="0"/>
              <w:keepLines w:val="0"/>
              <w:pageBreakBefore w:val="0"/>
              <w:wordWrap/>
              <w:overflowPunct/>
              <w:topLinePunct w:val="0"/>
              <w:bidi w:val="0"/>
              <w:spacing w:before="148" w:line="560" w:lineRule="exact"/>
              <w:ind w:left="771"/>
              <w:rPr>
                <w:rFonts w:ascii="Times New Roman" w:hAnsi="Times New Roman"/>
                <w:color w:val="000000"/>
                <w:highlight w:val="none"/>
              </w:rPr>
            </w:pPr>
            <w:r>
              <w:rPr>
                <w:rFonts w:ascii="Times New Roman" w:hAnsi="Times New Roman"/>
                <w:color w:val="000000"/>
                <w:spacing w:val="3"/>
                <w:highlight w:val="none"/>
              </w:rPr>
              <w:t>双人坟墓</w:t>
            </w:r>
          </w:p>
        </w:tc>
        <w:tc>
          <w:tcPr>
            <w:tcW w:w="544" w:type="pct"/>
            <w:noWrap w:val="0"/>
            <w:vAlign w:val="top"/>
          </w:tcPr>
          <w:p w14:paraId="37BD0C77">
            <w:pPr>
              <w:pStyle w:val="9"/>
              <w:keepNext w:val="0"/>
              <w:keepLines w:val="0"/>
              <w:pageBreakBefore w:val="0"/>
              <w:wordWrap/>
              <w:overflowPunct/>
              <w:topLinePunct w:val="0"/>
              <w:bidi w:val="0"/>
              <w:spacing w:before="148" w:line="560" w:lineRule="exact"/>
              <w:jc w:val="center"/>
              <w:rPr>
                <w:rFonts w:ascii="Times New Roman" w:hAnsi="Times New Roman"/>
                <w:color w:val="000000"/>
                <w:highlight w:val="none"/>
              </w:rPr>
            </w:pPr>
            <w:r>
              <w:rPr>
                <w:rFonts w:ascii="Times New Roman" w:hAnsi="Times New Roman"/>
                <w:color w:val="000000"/>
                <w:spacing w:val="3"/>
                <w:highlight w:val="none"/>
              </w:rPr>
              <w:t>元/宗</w:t>
            </w:r>
          </w:p>
        </w:tc>
        <w:tc>
          <w:tcPr>
            <w:tcW w:w="1287" w:type="pct"/>
            <w:noWrap w:val="0"/>
            <w:vAlign w:val="top"/>
          </w:tcPr>
          <w:p w14:paraId="2176D9A1">
            <w:pPr>
              <w:pStyle w:val="9"/>
              <w:keepNext w:val="0"/>
              <w:keepLines w:val="0"/>
              <w:pageBreakBefore w:val="0"/>
              <w:wordWrap/>
              <w:overflowPunct/>
              <w:topLinePunct w:val="0"/>
              <w:bidi w:val="0"/>
              <w:spacing w:before="217" w:line="560" w:lineRule="exact"/>
              <w:ind w:left="785"/>
              <w:rPr>
                <w:rFonts w:ascii="Times New Roman" w:hAnsi="Times New Roman"/>
                <w:color w:val="000000"/>
                <w:highlight w:val="none"/>
              </w:rPr>
            </w:pPr>
            <w:r>
              <w:rPr>
                <w:rFonts w:ascii="Times New Roman" w:hAnsi="Times New Roman"/>
                <w:color w:val="000000"/>
                <w:spacing w:val="-3"/>
                <w:highlight w:val="none"/>
              </w:rPr>
              <w:t>20000</w:t>
            </w:r>
          </w:p>
        </w:tc>
        <w:tc>
          <w:tcPr>
            <w:tcW w:w="1233" w:type="pct"/>
            <w:noWrap w:val="0"/>
            <w:vAlign w:val="top"/>
          </w:tcPr>
          <w:p w14:paraId="3B49563F">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4246E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37" w:type="pct"/>
            <w:noWrap w:val="0"/>
            <w:vAlign w:val="center"/>
          </w:tcPr>
          <w:p w14:paraId="360B33C0">
            <w:pPr>
              <w:pStyle w:val="9"/>
              <w:keepNext w:val="0"/>
              <w:keepLines w:val="0"/>
              <w:pageBreakBefore w:val="0"/>
              <w:wordWrap/>
              <w:overflowPunct/>
              <w:topLinePunct w:val="0"/>
              <w:bidi w:val="0"/>
              <w:spacing w:before="217" w:line="560" w:lineRule="exact"/>
              <w:jc w:val="center"/>
              <w:rPr>
                <w:rFonts w:hint="eastAsia" w:ascii="Times New Roman" w:hAnsi="Times New Roman" w:eastAsia="宋体"/>
                <w:color w:val="000000"/>
                <w:highlight w:val="none"/>
                <w:lang w:eastAsia="zh-CN"/>
              </w:rPr>
            </w:pPr>
            <w:r>
              <w:rPr>
                <w:rFonts w:hint="eastAsia" w:ascii="Times New Roman" w:hAnsi="Times New Roman"/>
                <w:color w:val="000000"/>
                <w:spacing w:val="-8"/>
                <w:highlight w:val="none"/>
                <w:lang w:val="en-US" w:eastAsia="zh-CN"/>
              </w:rPr>
              <w:t>9</w:t>
            </w:r>
          </w:p>
        </w:tc>
        <w:tc>
          <w:tcPr>
            <w:tcW w:w="1497" w:type="pct"/>
            <w:noWrap w:val="0"/>
            <w:vAlign w:val="top"/>
          </w:tcPr>
          <w:p w14:paraId="7A0C38B7">
            <w:pPr>
              <w:pStyle w:val="9"/>
              <w:keepNext w:val="0"/>
              <w:keepLines w:val="0"/>
              <w:pageBreakBefore w:val="0"/>
              <w:wordWrap/>
              <w:overflowPunct/>
              <w:topLinePunct w:val="0"/>
              <w:bidi w:val="0"/>
              <w:spacing w:before="152" w:line="560" w:lineRule="exact"/>
              <w:ind w:left="1041"/>
              <w:rPr>
                <w:rFonts w:ascii="Times New Roman" w:hAnsi="Times New Roman"/>
                <w:color w:val="000000"/>
                <w:highlight w:val="none"/>
              </w:rPr>
            </w:pPr>
            <w:r>
              <w:rPr>
                <w:rFonts w:ascii="Times New Roman" w:hAnsi="Times New Roman"/>
                <w:color w:val="000000"/>
                <w:spacing w:val="5"/>
                <w:highlight w:val="none"/>
              </w:rPr>
              <w:t>砖墙</w:t>
            </w:r>
          </w:p>
        </w:tc>
        <w:tc>
          <w:tcPr>
            <w:tcW w:w="544" w:type="pct"/>
            <w:noWrap w:val="0"/>
            <w:vAlign w:val="top"/>
          </w:tcPr>
          <w:p w14:paraId="29DAD570">
            <w:pPr>
              <w:pStyle w:val="9"/>
              <w:keepNext w:val="0"/>
              <w:keepLines w:val="0"/>
              <w:pageBreakBefore w:val="0"/>
              <w:wordWrap/>
              <w:overflowPunct/>
              <w:topLinePunct w:val="0"/>
              <w:bidi w:val="0"/>
              <w:spacing w:before="149" w:line="560" w:lineRule="exact"/>
              <w:jc w:val="center"/>
              <w:rPr>
                <w:rFonts w:ascii="Times New Roman" w:hAnsi="Times New Roman"/>
                <w:color w:val="000000"/>
                <w:highlight w:val="none"/>
              </w:rPr>
            </w:pPr>
            <w:r>
              <w:rPr>
                <w:rFonts w:ascii="Times New Roman" w:hAnsi="Times New Roman"/>
                <w:color w:val="000000"/>
                <w:spacing w:val="-4"/>
                <w:highlight w:val="none"/>
              </w:rPr>
              <w:t>元/m</w:t>
            </w:r>
          </w:p>
        </w:tc>
        <w:tc>
          <w:tcPr>
            <w:tcW w:w="1287" w:type="pct"/>
            <w:noWrap w:val="0"/>
            <w:vAlign w:val="top"/>
          </w:tcPr>
          <w:p w14:paraId="19540F7C">
            <w:pPr>
              <w:pStyle w:val="9"/>
              <w:keepNext w:val="0"/>
              <w:keepLines w:val="0"/>
              <w:pageBreakBefore w:val="0"/>
              <w:wordWrap/>
              <w:overflowPunct/>
              <w:topLinePunct w:val="0"/>
              <w:bidi w:val="0"/>
              <w:spacing w:before="217" w:line="560" w:lineRule="exact"/>
              <w:ind w:left="925"/>
              <w:rPr>
                <w:rFonts w:ascii="Times New Roman" w:hAnsi="Times New Roman"/>
                <w:color w:val="000000"/>
                <w:highlight w:val="none"/>
              </w:rPr>
            </w:pPr>
            <w:r>
              <w:rPr>
                <w:rFonts w:ascii="Times New Roman" w:hAnsi="Times New Roman"/>
                <w:color w:val="000000"/>
                <w:spacing w:val="-7"/>
                <w:highlight w:val="none"/>
              </w:rPr>
              <w:t>150</w:t>
            </w:r>
          </w:p>
        </w:tc>
        <w:tc>
          <w:tcPr>
            <w:tcW w:w="1233" w:type="pct"/>
            <w:noWrap w:val="0"/>
            <w:vAlign w:val="top"/>
          </w:tcPr>
          <w:p w14:paraId="0FC60152">
            <w:pPr>
              <w:pStyle w:val="9"/>
              <w:keepNext w:val="0"/>
              <w:keepLines w:val="0"/>
              <w:pageBreakBefore w:val="0"/>
              <w:wordWrap/>
              <w:overflowPunct/>
              <w:topLinePunct w:val="0"/>
              <w:bidi w:val="0"/>
              <w:spacing w:before="149" w:line="560" w:lineRule="exact"/>
              <w:ind w:left="408"/>
              <w:rPr>
                <w:rFonts w:ascii="Times New Roman" w:hAnsi="Times New Roman"/>
                <w:color w:val="000000"/>
                <w:highlight w:val="none"/>
              </w:rPr>
            </w:pPr>
            <w:r>
              <w:rPr>
                <w:rFonts w:ascii="Times New Roman" w:hAnsi="Times New Roman"/>
                <w:color w:val="000000"/>
                <w:spacing w:val="-3"/>
                <w:highlight w:val="none"/>
              </w:rPr>
              <w:t>高1.5m—2m</w:t>
            </w:r>
          </w:p>
        </w:tc>
      </w:tr>
      <w:tr w14:paraId="2CC74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437" w:type="pct"/>
            <w:vMerge w:val="restart"/>
            <w:tcBorders>
              <w:bottom w:val="nil"/>
            </w:tcBorders>
            <w:noWrap w:val="0"/>
            <w:vAlign w:val="center"/>
          </w:tcPr>
          <w:p w14:paraId="5D3765D4">
            <w:pPr>
              <w:pStyle w:val="9"/>
              <w:keepNext w:val="0"/>
              <w:keepLines w:val="0"/>
              <w:pageBreakBefore w:val="0"/>
              <w:wordWrap/>
              <w:overflowPunct/>
              <w:topLinePunct w:val="0"/>
              <w:bidi w:val="0"/>
              <w:spacing w:before="87" w:line="560" w:lineRule="exact"/>
              <w:jc w:val="center"/>
              <w:rPr>
                <w:rFonts w:hint="eastAsia" w:ascii="Times New Roman" w:hAnsi="Times New Roman" w:eastAsia="宋体"/>
                <w:color w:val="000000"/>
                <w:highlight w:val="none"/>
                <w:lang w:eastAsia="zh-CN"/>
              </w:rPr>
            </w:pPr>
            <w:r>
              <w:rPr>
                <w:rFonts w:ascii="Times New Roman" w:hAnsi="Times New Roman"/>
                <w:color w:val="000000"/>
                <w:spacing w:val="-8"/>
                <w:highlight w:val="none"/>
              </w:rPr>
              <w:t>1</w:t>
            </w:r>
            <w:r>
              <w:rPr>
                <w:rFonts w:hint="eastAsia" w:ascii="Times New Roman" w:hAnsi="Times New Roman"/>
                <w:color w:val="000000"/>
                <w:spacing w:val="-8"/>
                <w:highlight w:val="none"/>
                <w:lang w:val="en-US" w:eastAsia="zh-CN"/>
              </w:rPr>
              <w:t>0</w:t>
            </w:r>
          </w:p>
        </w:tc>
        <w:tc>
          <w:tcPr>
            <w:tcW w:w="1497" w:type="pct"/>
            <w:vMerge w:val="restart"/>
            <w:tcBorders>
              <w:bottom w:val="nil"/>
            </w:tcBorders>
            <w:noWrap w:val="0"/>
            <w:vAlign w:val="top"/>
          </w:tcPr>
          <w:p w14:paraId="736C3B45">
            <w:pPr>
              <w:keepNext w:val="0"/>
              <w:keepLines w:val="0"/>
              <w:pageBreakBefore w:val="0"/>
              <w:wordWrap/>
              <w:overflowPunct/>
              <w:topLinePunct w:val="0"/>
              <w:bidi w:val="0"/>
              <w:spacing w:line="560" w:lineRule="exact"/>
              <w:rPr>
                <w:rFonts w:ascii="Times New Roman" w:hAnsi="Times New Roman"/>
                <w:color w:val="000000"/>
                <w:sz w:val="21"/>
                <w:highlight w:val="none"/>
              </w:rPr>
            </w:pPr>
          </w:p>
          <w:p w14:paraId="5FCE088E">
            <w:pPr>
              <w:keepNext w:val="0"/>
              <w:keepLines w:val="0"/>
              <w:pageBreakBefore w:val="0"/>
              <w:wordWrap/>
              <w:overflowPunct/>
              <w:topLinePunct w:val="0"/>
              <w:bidi w:val="0"/>
              <w:spacing w:line="560" w:lineRule="exact"/>
              <w:rPr>
                <w:rFonts w:ascii="Times New Roman" w:hAnsi="Times New Roman"/>
                <w:color w:val="000000"/>
                <w:sz w:val="21"/>
                <w:highlight w:val="none"/>
              </w:rPr>
            </w:pPr>
          </w:p>
          <w:p w14:paraId="626AA2B6">
            <w:pPr>
              <w:keepNext w:val="0"/>
              <w:keepLines w:val="0"/>
              <w:pageBreakBefore w:val="0"/>
              <w:wordWrap/>
              <w:overflowPunct/>
              <w:topLinePunct w:val="0"/>
              <w:bidi w:val="0"/>
              <w:spacing w:line="560" w:lineRule="exact"/>
              <w:rPr>
                <w:rFonts w:ascii="Times New Roman" w:hAnsi="Times New Roman"/>
                <w:color w:val="000000"/>
                <w:sz w:val="21"/>
                <w:highlight w:val="none"/>
              </w:rPr>
            </w:pPr>
          </w:p>
          <w:p w14:paraId="76A5E63B">
            <w:pPr>
              <w:keepNext w:val="0"/>
              <w:keepLines w:val="0"/>
              <w:pageBreakBefore w:val="0"/>
              <w:wordWrap/>
              <w:overflowPunct/>
              <w:topLinePunct w:val="0"/>
              <w:bidi w:val="0"/>
              <w:spacing w:line="560" w:lineRule="exact"/>
              <w:rPr>
                <w:rFonts w:ascii="Times New Roman" w:hAnsi="Times New Roman"/>
                <w:color w:val="000000"/>
                <w:sz w:val="21"/>
                <w:highlight w:val="none"/>
              </w:rPr>
            </w:pPr>
          </w:p>
          <w:p w14:paraId="472C4F58">
            <w:pPr>
              <w:pStyle w:val="9"/>
              <w:keepNext w:val="0"/>
              <w:keepLines w:val="0"/>
              <w:pageBreakBefore w:val="0"/>
              <w:wordWrap/>
              <w:overflowPunct/>
              <w:topLinePunct w:val="0"/>
              <w:bidi w:val="0"/>
              <w:spacing w:before="88" w:line="560" w:lineRule="exact"/>
              <w:ind w:left="1041"/>
              <w:rPr>
                <w:rFonts w:ascii="Times New Roman" w:hAnsi="Times New Roman"/>
                <w:color w:val="000000"/>
                <w:highlight w:val="none"/>
              </w:rPr>
            </w:pPr>
            <w:r>
              <w:rPr>
                <w:rFonts w:ascii="Times New Roman" w:hAnsi="Times New Roman"/>
                <w:color w:val="000000"/>
                <w:spacing w:val="5"/>
                <w:highlight w:val="none"/>
              </w:rPr>
              <w:t>机井</w:t>
            </w:r>
          </w:p>
        </w:tc>
        <w:tc>
          <w:tcPr>
            <w:tcW w:w="544" w:type="pct"/>
            <w:noWrap w:val="0"/>
            <w:vAlign w:val="top"/>
          </w:tcPr>
          <w:p w14:paraId="25A48550">
            <w:pPr>
              <w:pStyle w:val="9"/>
              <w:keepNext w:val="0"/>
              <w:keepLines w:val="0"/>
              <w:pageBreakBefore w:val="0"/>
              <w:wordWrap/>
              <w:overflowPunct/>
              <w:topLinePunct w:val="0"/>
              <w:bidi w:val="0"/>
              <w:spacing w:before="140" w:line="560" w:lineRule="exact"/>
              <w:jc w:val="center"/>
              <w:rPr>
                <w:rFonts w:ascii="Times New Roman" w:hAnsi="Times New Roman"/>
                <w:color w:val="000000"/>
                <w:highlight w:val="none"/>
              </w:rPr>
            </w:pPr>
            <w:r>
              <w:rPr>
                <w:rFonts w:ascii="Times New Roman" w:hAnsi="Times New Roman"/>
                <w:color w:val="000000"/>
                <w:spacing w:val="2"/>
                <w:highlight w:val="none"/>
              </w:rPr>
              <w:t>元/眼</w:t>
            </w:r>
          </w:p>
        </w:tc>
        <w:tc>
          <w:tcPr>
            <w:tcW w:w="1287" w:type="pct"/>
            <w:noWrap w:val="0"/>
            <w:vAlign w:val="top"/>
          </w:tcPr>
          <w:p w14:paraId="5AD136EA">
            <w:pPr>
              <w:pStyle w:val="9"/>
              <w:keepNext w:val="0"/>
              <w:keepLines w:val="0"/>
              <w:pageBreakBefore w:val="0"/>
              <w:wordWrap/>
              <w:overflowPunct/>
              <w:topLinePunct w:val="0"/>
              <w:bidi w:val="0"/>
              <w:spacing w:before="208" w:line="560" w:lineRule="exact"/>
              <w:ind w:left="785"/>
              <w:rPr>
                <w:rFonts w:ascii="Times New Roman" w:hAnsi="Times New Roman"/>
                <w:color w:val="000000"/>
                <w:highlight w:val="none"/>
              </w:rPr>
            </w:pPr>
            <w:r>
              <w:rPr>
                <w:rFonts w:ascii="Times New Roman" w:hAnsi="Times New Roman"/>
                <w:color w:val="000000"/>
                <w:spacing w:val="-5"/>
                <w:highlight w:val="none"/>
              </w:rPr>
              <w:t>14000</w:t>
            </w:r>
          </w:p>
        </w:tc>
        <w:tc>
          <w:tcPr>
            <w:tcW w:w="1233" w:type="pct"/>
            <w:noWrap w:val="0"/>
            <w:vAlign w:val="top"/>
          </w:tcPr>
          <w:p w14:paraId="343BF0B8">
            <w:pPr>
              <w:pStyle w:val="9"/>
              <w:keepNext w:val="0"/>
              <w:keepLines w:val="0"/>
              <w:pageBreakBefore w:val="0"/>
              <w:wordWrap/>
              <w:overflowPunct/>
              <w:topLinePunct w:val="0"/>
              <w:bidi w:val="0"/>
              <w:spacing w:before="140" w:line="560" w:lineRule="exact"/>
              <w:ind w:left="338"/>
              <w:rPr>
                <w:rFonts w:ascii="Times New Roman" w:hAnsi="Times New Roman"/>
                <w:color w:val="000000"/>
                <w:highlight w:val="none"/>
              </w:rPr>
            </w:pPr>
            <w:r>
              <w:rPr>
                <w:rFonts w:ascii="Times New Roman" w:hAnsi="Times New Roman"/>
                <w:color w:val="000000"/>
                <w:spacing w:val="4"/>
                <w:highlight w:val="none"/>
              </w:rPr>
              <w:t>井深60m以内</w:t>
            </w:r>
          </w:p>
        </w:tc>
      </w:tr>
      <w:tr w14:paraId="72C38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37" w:type="pct"/>
            <w:vMerge w:val="continue"/>
            <w:tcBorders>
              <w:top w:val="nil"/>
              <w:bottom w:val="nil"/>
            </w:tcBorders>
            <w:noWrap w:val="0"/>
            <w:vAlign w:val="top"/>
          </w:tcPr>
          <w:p w14:paraId="592A9973">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1497" w:type="pct"/>
            <w:vMerge w:val="continue"/>
            <w:tcBorders>
              <w:top w:val="nil"/>
              <w:bottom w:val="nil"/>
            </w:tcBorders>
            <w:noWrap w:val="0"/>
            <w:vAlign w:val="top"/>
          </w:tcPr>
          <w:p w14:paraId="6B212980">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544" w:type="pct"/>
            <w:noWrap w:val="0"/>
            <w:vAlign w:val="top"/>
          </w:tcPr>
          <w:p w14:paraId="03E0E2A2">
            <w:pPr>
              <w:pStyle w:val="9"/>
              <w:keepNext w:val="0"/>
              <w:keepLines w:val="0"/>
              <w:pageBreakBefore w:val="0"/>
              <w:wordWrap/>
              <w:overflowPunct/>
              <w:topLinePunct w:val="0"/>
              <w:bidi w:val="0"/>
              <w:spacing w:before="151" w:line="560" w:lineRule="exact"/>
              <w:jc w:val="center"/>
              <w:rPr>
                <w:rFonts w:ascii="Times New Roman" w:hAnsi="Times New Roman"/>
                <w:color w:val="000000"/>
                <w:highlight w:val="none"/>
              </w:rPr>
            </w:pPr>
            <w:r>
              <w:rPr>
                <w:rFonts w:ascii="Times New Roman" w:hAnsi="Times New Roman"/>
                <w:color w:val="000000"/>
                <w:spacing w:val="2"/>
                <w:highlight w:val="none"/>
              </w:rPr>
              <w:t>元/眼</w:t>
            </w:r>
          </w:p>
        </w:tc>
        <w:tc>
          <w:tcPr>
            <w:tcW w:w="1287" w:type="pct"/>
            <w:noWrap w:val="0"/>
            <w:vAlign w:val="top"/>
          </w:tcPr>
          <w:p w14:paraId="1B076338">
            <w:pPr>
              <w:pStyle w:val="9"/>
              <w:keepNext w:val="0"/>
              <w:keepLines w:val="0"/>
              <w:pageBreakBefore w:val="0"/>
              <w:wordWrap/>
              <w:overflowPunct/>
              <w:topLinePunct w:val="0"/>
              <w:bidi w:val="0"/>
              <w:spacing w:before="220" w:line="560" w:lineRule="exact"/>
              <w:ind w:left="785"/>
              <w:rPr>
                <w:rFonts w:ascii="Times New Roman" w:hAnsi="Times New Roman"/>
                <w:color w:val="000000"/>
                <w:highlight w:val="none"/>
              </w:rPr>
            </w:pPr>
            <w:r>
              <w:rPr>
                <w:rFonts w:ascii="Times New Roman" w:hAnsi="Times New Roman"/>
                <w:color w:val="000000"/>
                <w:spacing w:val="-3"/>
                <w:highlight w:val="none"/>
              </w:rPr>
              <w:t>28000</w:t>
            </w:r>
          </w:p>
        </w:tc>
        <w:tc>
          <w:tcPr>
            <w:tcW w:w="1233" w:type="pct"/>
            <w:noWrap w:val="0"/>
            <w:vAlign w:val="top"/>
          </w:tcPr>
          <w:p w14:paraId="750FF7E4">
            <w:pPr>
              <w:pStyle w:val="9"/>
              <w:keepNext w:val="0"/>
              <w:keepLines w:val="0"/>
              <w:pageBreakBefore w:val="0"/>
              <w:wordWrap/>
              <w:overflowPunct/>
              <w:topLinePunct w:val="0"/>
              <w:bidi w:val="0"/>
              <w:spacing w:before="219" w:line="560" w:lineRule="exact"/>
              <w:ind w:left="468"/>
              <w:rPr>
                <w:rFonts w:ascii="Times New Roman" w:hAnsi="Times New Roman"/>
                <w:color w:val="000000"/>
                <w:highlight w:val="none"/>
              </w:rPr>
            </w:pPr>
            <w:r>
              <w:rPr>
                <w:rFonts w:ascii="Times New Roman" w:hAnsi="Times New Roman"/>
                <w:color w:val="000000"/>
                <w:spacing w:val="-2"/>
                <w:highlight w:val="none"/>
              </w:rPr>
              <w:t>60m—120m</w:t>
            </w:r>
          </w:p>
        </w:tc>
      </w:tr>
      <w:tr w14:paraId="29F81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37" w:type="pct"/>
            <w:vMerge w:val="continue"/>
            <w:tcBorders>
              <w:top w:val="nil"/>
              <w:bottom w:val="nil"/>
            </w:tcBorders>
            <w:noWrap w:val="0"/>
            <w:vAlign w:val="top"/>
          </w:tcPr>
          <w:p w14:paraId="6EB9B11E">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1497" w:type="pct"/>
            <w:vMerge w:val="continue"/>
            <w:tcBorders>
              <w:top w:val="nil"/>
              <w:bottom w:val="nil"/>
            </w:tcBorders>
            <w:noWrap w:val="0"/>
            <w:vAlign w:val="top"/>
          </w:tcPr>
          <w:p w14:paraId="63B1E74D">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544" w:type="pct"/>
            <w:noWrap w:val="0"/>
            <w:vAlign w:val="top"/>
          </w:tcPr>
          <w:p w14:paraId="4B80C2CE">
            <w:pPr>
              <w:pStyle w:val="9"/>
              <w:keepNext w:val="0"/>
              <w:keepLines w:val="0"/>
              <w:pageBreakBefore w:val="0"/>
              <w:wordWrap/>
              <w:overflowPunct/>
              <w:topLinePunct w:val="0"/>
              <w:bidi w:val="0"/>
              <w:spacing w:before="151" w:line="560" w:lineRule="exact"/>
              <w:jc w:val="center"/>
              <w:rPr>
                <w:rFonts w:ascii="Times New Roman" w:hAnsi="Times New Roman"/>
                <w:color w:val="000000"/>
                <w:highlight w:val="none"/>
              </w:rPr>
            </w:pPr>
            <w:r>
              <w:rPr>
                <w:rFonts w:ascii="Times New Roman" w:hAnsi="Times New Roman"/>
                <w:color w:val="000000"/>
                <w:spacing w:val="2"/>
                <w:highlight w:val="none"/>
              </w:rPr>
              <w:t>元/眼</w:t>
            </w:r>
          </w:p>
        </w:tc>
        <w:tc>
          <w:tcPr>
            <w:tcW w:w="1287" w:type="pct"/>
            <w:noWrap w:val="0"/>
            <w:vAlign w:val="top"/>
          </w:tcPr>
          <w:p w14:paraId="34925C47">
            <w:pPr>
              <w:pStyle w:val="9"/>
              <w:keepNext w:val="0"/>
              <w:keepLines w:val="0"/>
              <w:pageBreakBefore w:val="0"/>
              <w:wordWrap/>
              <w:overflowPunct/>
              <w:topLinePunct w:val="0"/>
              <w:bidi w:val="0"/>
              <w:spacing w:before="220" w:line="560" w:lineRule="exact"/>
              <w:ind w:left="785"/>
              <w:rPr>
                <w:rFonts w:ascii="Times New Roman" w:hAnsi="Times New Roman"/>
                <w:color w:val="000000"/>
                <w:highlight w:val="none"/>
              </w:rPr>
            </w:pPr>
            <w:r>
              <w:rPr>
                <w:rFonts w:ascii="Times New Roman" w:hAnsi="Times New Roman"/>
                <w:color w:val="000000"/>
                <w:spacing w:val="-2"/>
                <w:highlight w:val="none"/>
              </w:rPr>
              <w:t>42000</w:t>
            </w:r>
          </w:p>
        </w:tc>
        <w:tc>
          <w:tcPr>
            <w:tcW w:w="1233" w:type="pct"/>
            <w:noWrap w:val="0"/>
            <w:vAlign w:val="top"/>
          </w:tcPr>
          <w:p w14:paraId="6ED4A29F">
            <w:pPr>
              <w:pStyle w:val="9"/>
              <w:keepNext w:val="0"/>
              <w:keepLines w:val="0"/>
              <w:pageBreakBefore w:val="0"/>
              <w:wordWrap/>
              <w:overflowPunct/>
              <w:topLinePunct w:val="0"/>
              <w:bidi w:val="0"/>
              <w:spacing w:before="219" w:line="560" w:lineRule="exact"/>
              <w:ind w:left="408"/>
              <w:rPr>
                <w:rFonts w:ascii="Times New Roman" w:hAnsi="Times New Roman"/>
                <w:color w:val="000000"/>
                <w:highlight w:val="none"/>
              </w:rPr>
            </w:pPr>
            <w:r>
              <w:rPr>
                <w:rFonts w:ascii="Times New Roman" w:hAnsi="Times New Roman"/>
                <w:color w:val="000000"/>
                <w:spacing w:val="-4"/>
                <w:highlight w:val="none"/>
              </w:rPr>
              <w:t>121m—180m</w:t>
            </w:r>
          </w:p>
        </w:tc>
      </w:tr>
      <w:tr w14:paraId="04D69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437" w:type="pct"/>
            <w:vMerge w:val="continue"/>
            <w:tcBorders>
              <w:top w:val="nil"/>
              <w:bottom w:val="nil"/>
            </w:tcBorders>
            <w:noWrap w:val="0"/>
            <w:vAlign w:val="top"/>
          </w:tcPr>
          <w:p w14:paraId="70ED60F1">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1497" w:type="pct"/>
            <w:vMerge w:val="continue"/>
            <w:tcBorders>
              <w:top w:val="nil"/>
              <w:bottom w:val="nil"/>
            </w:tcBorders>
            <w:noWrap w:val="0"/>
            <w:vAlign w:val="top"/>
          </w:tcPr>
          <w:p w14:paraId="7752BDE0">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544" w:type="pct"/>
            <w:noWrap w:val="0"/>
            <w:vAlign w:val="top"/>
          </w:tcPr>
          <w:p w14:paraId="6DE51A7C">
            <w:pPr>
              <w:pStyle w:val="9"/>
              <w:keepNext w:val="0"/>
              <w:keepLines w:val="0"/>
              <w:pageBreakBefore w:val="0"/>
              <w:wordWrap/>
              <w:overflowPunct/>
              <w:topLinePunct w:val="0"/>
              <w:bidi w:val="0"/>
              <w:spacing w:before="141" w:line="560" w:lineRule="exact"/>
              <w:jc w:val="center"/>
              <w:rPr>
                <w:rFonts w:ascii="Times New Roman" w:hAnsi="Times New Roman"/>
                <w:color w:val="000000"/>
                <w:highlight w:val="none"/>
              </w:rPr>
            </w:pPr>
            <w:r>
              <w:rPr>
                <w:rFonts w:ascii="Times New Roman" w:hAnsi="Times New Roman"/>
                <w:color w:val="000000"/>
                <w:spacing w:val="2"/>
                <w:highlight w:val="none"/>
              </w:rPr>
              <w:t>元/眼</w:t>
            </w:r>
          </w:p>
        </w:tc>
        <w:tc>
          <w:tcPr>
            <w:tcW w:w="1287" w:type="pct"/>
            <w:noWrap w:val="0"/>
            <w:vAlign w:val="top"/>
          </w:tcPr>
          <w:p w14:paraId="0062CA41">
            <w:pPr>
              <w:pStyle w:val="9"/>
              <w:keepNext w:val="0"/>
              <w:keepLines w:val="0"/>
              <w:pageBreakBefore w:val="0"/>
              <w:wordWrap/>
              <w:overflowPunct/>
              <w:topLinePunct w:val="0"/>
              <w:bidi w:val="0"/>
              <w:spacing w:before="208" w:line="560" w:lineRule="exact"/>
              <w:ind w:left="788"/>
              <w:rPr>
                <w:rFonts w:ascii="Times New Roman" w:hAnsi="Times New Roman"/>
                <w:color w:val="000000"/>
                <w:highlight w:val="none"/>
              </w:rPr>
            </w:pPr>
            <w:r>
              <w:rPr>
                <w:rFonts w:ascii="Times New Roman" w:hAnsi="Times New Roman"/>
                <w:b w:val="0"/>
                <w:bCs w:val="0"/>
                <w:color w:val="000000"/>
                <w:spacing w:val="-6"/>
                <w:highlight w:val="none"/>
              </w:rPr>
              <w:t>54000</w:t>
            </w:r>
          </w:p>
        </w:tc>
        <w:tc>
          <w:tcPr>
            <w:tcW w:w="1233" w:type="pct"/>
            <w:noWrap w:val="0"/>
            <w:vAlign w:val="top"/>
          </w:tcPr>
          <w:p w14:paraId="04E75E1E">
            <w:pPr>
              <w:pStyle w:val="9"/>
              <w:keepNext w:val="0"/>
              <w:keepLines w:val="0"/>
              <w:pageBreakBefore w:val="0"/>
              <w:wordWrap/>
              <w:overflowPunct/>
              <w:topLinePunct w:val="0"/>
              <w:bidi w:val="0"/>
              <w:spacing w:before="209" w:line="560" w:lineRule="exact"/>
              <w:ind w:left="408"/>
              <w:rPr>
                <w:rFonts w:ascii="Times New Roman" w:hAnsi="Times New Roman"/>
                <w:color w:val="000000"/>
                <w:highlight w:val="none"/>
              </w:rPr>
            </w:pPr>
            <w:r>
              <w:rPr>
                <w:rFonts w:ascii="Times New Roman" w:hAnsi="Times New Roman"/>
                <w:color w:val="000000"/>
                <w:spacing w:val="-4"/>
                <w:highlight w:val="none"/>
              </w:rPr>
              <w:t>181m—240m</w:t>
            </w:r>
          </w:p>
        </w:tc>
      </w:tr>
      <w:tr w14:paraId="39DF3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437" w:type="pct"/>
            <w:vMerge w:val="continue"/>
            <w:tcBorders>
              <w:top w:val="nil"/>
            </w:tcBorders>
            <w:noWrap w:val="0"/>
            <w:vAlign w:val="top"/>
          </w:tcPr>
          <w:p w14:paraId="224CBE40">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1497" w:type="pct"/>
            <w:vMerge w:val="continue"/>
            <w:tcBorders>
              <w:top w:val="nil"/>
            </w:tcBorders>
            <w:noWrap w:val="0"/>
            <w:vAlign w:val="top"/>
          </w:tcPr>
          <w:p w14:paraId="19197946">
            <w:pPr>
              <w:keepNext w:val="0"/>
              <w:keepLines w:val="0"/>
              <w:pageBreakBefore w:val="0"/>
              <w:wordWrap/>
              <w:overflowPunct/>
              <w:topLinePunct w:val="0"/>
              <w:bidi w:val="0"/>
              <w:spacing w:line="560" w:lineRule="exact"/>
              <w:rPr>
                <w:rFonts w:ascii="Times New Roman" w:hAnsi="Times New Roman"/>
                <w:color w:val="000000"/>
                <w:sz w:val="21"/>
                <w:highlight w:val="none"/>
              </w:rPr>
            </w:pPr>
          </w:p>
        </w:tc>
        <w:tc>
          <w:tcPr>
            <w:tcW w:w="544" w:type="pct"/>
            <w:noWrap w:val="0"/>
            <w:vAlign w:val="top"/>
          </w:tcPr>
          <w:p w14:paraId="0C1A26AD">
            <w:pPr>
              <w:pStyle w:val="9"/>
              <w:keepNext w:val="0"/>
              <w:keepLines w:val="0"/>
              <w:pageBreakBefore w:val="0"/>
              <w:wordWrap/>
              <w:overflowPunct/>
              <w:topLinePunct w:val="0"/>
              <w:bidi w:val="0"/>
              <w:spacing w:before="201" w:line="560" w:lineRule="exact"/>
              <w:jc w:val="center"/>
              <w:rPr>
                <w:rFonts w:ascii="Times New Roman" w:hAnsi="Times New Roman"/>
                <w:color w:val="000000"/>
                <w:highlight w:val="none"/>
              </w:rPr>
            </w:pPr>
            <w:r>
              <w:rPr>
                <w:rFonts w:ascii="Times New Roman" w:hAnsi="Times New Roman"/>
                <w:color w:val="000000"/>
                <w:spacing w:val="2"/>
                <w:highlight w:val="none"/>
              </w:rPr>
              <w:t>元/眼</w:t>
            </w:r>
          </w:p>
        </w:tc>
        <w:tc>
          <w:tcPr>
            <w:tcW w:w="1287" w:type="pct"/>
            <w:noWrap w:val="0"/>
            <w:vAlign w:val="top"/>
          </w:tcPr>
          <w:p w14:paraId="79E6F036">
            <w:pPr>
              <w:pStyle w:val="9"/>
              <w:keepNext w:val="0"/>
              <w:keepLines w:val="0"/>
              <w:pageBreakBefore w:val="0"/>
              <w:wordWrap/>
              <w:overflowPunct/>
              <w:topLinePunct w:val="0"/>
              <w:bidi w:val="0"/>
              <w:spacing w:before="280" w:line="560" w:lineRule="exact"/>
              <w:ind w:left="785"/>
              <w:rPr>
                <w:rFonts w:ascii="Times New Roman" w:hAnsi="Times New Roman"/>
                <w:color w:val="000000"/>
                <w:highlight w:val="none"/>
              </w:rPr>
            </w:pPr>
            <w:r>
              <w:rPr>
                <w:rFonts w:ascii="Times New Roman" w:hAnsi="Times New Roman"/>
                <w:color w:val="000000"/>
                <w:spacing w:val="-3"/>
                <w:highlight w:val="none"/>
              </w:rPr>
              <w:t>70000</w:t>
            </w:r>
          </w:p>
        </w:tc>
        <w:tc>
          <w:tcPr>
            <w:tcW w:w="1233" w:type="pct"/>
            <w:noWrap w:val="0"/>
            <w:vAlign w:val="top"/>
          </w:tcPr>
          <w:p w14:paraId="01C6B18A">
            <w:pPr>
              <w:pStyle w:val="9"/>
              <w:keepNext w:val="0"/>
              <w:keepLines w:val="0"/>
              <w:pageBreakBefore w:val="0"/>
              <w:wordWrap/>
              <w:overflowPunct/>
              <w:topLinePunct w:val="0"/>
              <w:bidi w:val="0"/>
              <w:spacing w:before="270" w:line="560" w:lineRule="exact"/>
              <w:ind w:left="408"/>
              <w:rPr>
                <w:rFonts w:ascii="Times New Roman" w:hAnsi="Times New Roman"/>
                <w:color w:val="000000"/>
                <w:highlight w:val="none"/>
              </w:rPr>
            </w:pPr>
            <w:r>
              <w:rPr>
                <w:rFonts w:ascii="Times New Roman" w:hAnsi="Times New Roman"/>
                <w:color w:val="000000"/>
                <w:spacing w:val="-2"/>
                <w:highlight w:val="none"/>
              </w:rPr>
              <w:t>241m—300m</w:t>
            </w:r>
          </w:p>
        </w:tc>
      </w:tr>
      <w:tr w14:paraId="66540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6FB945B2">
            <w:pPr>
              <w:pStyle w:val="9"/>
              <w:keepNext w:val="0"/>
              <w:keepLines w:val="0"/>
              <w:pageBreakBefore w:val="0"/>
              <w:wordWrap/>
              <w:overflowPunct/>
              <w:topLinePunct w:val="0"/>
              <w:bidi w:val="0"/>
              <w:spacing w:before="209" w:line="560" w:lineRule="exact"/>
              <w:ind w:left="245"/>
              <w:rPr>
                <w:rFonts w:hint="eastAsia" w:ascii="Times New Roman" w:hAnsi="Times New Roman" w:eastAsia="宋体"/>
                <w:color w:val="000000"/>
                <w:highlight w:val="none"/>
                <w:lang w:eastAsia="zh-CN"/>
              </w:rPr>
            </w:pPr>
            <w:r>
              <w:rPr>
                <w:rFonts w:ascii="Times New Roman" w:hAnsi="Times New Roman"/>
                <w:color w:val="000000"/>
                <w:spacing w:val="-8"/>
                <w:highlight w:val="none"/>
              </w:rPr>
              <w:t>1</w:t>
            </w:r>
            <w:r>
              <w:rPr>
                <w:rFonts w:hint="eastAsia" w:ascii="Times New Roman" w:hAnsi="Times New Roman"/>
                <w:color w:val="000000"/>
                <w:spacing w:val="-8"/>
                <w:highlight w:val="none"/>
                <w:lang w:val="en-US" w:eastAsia="zh-CN"/>
              </w:rPr>
              <w:t>1</w:t>
            </w:r>
          </w:p>
        </w:tc>
        <w:tc>
          <w:tcPr>
            <w:tcW w:w="1497" w:type="pct"/>
            <w:noWrap w:val="0"/>
            <w:vAlign w:val="top"/>
          </w:tcPr>
          <w:p w14:paraId="515168B1">
            <w:pPr>
              <w:pStyle w:val="9"/>
              <w:keepNext w:val="0"/>
              <w:keepLines w:val="0"/>
              <w:pageBreakBefore w:val="0"/>
              <w:wordWrap/>
              <w:overflowPunct/>
              <w:topLinePunct w:val="0"/>
              <w:bidi w:val="0"/>
              <w:spacing w:before="141" w:line="560" w:lineRule="exact"/>
              <w:ind w:left="901"/>
              <w:rPr>
                <w:rFonts w:ascii="Times New Roman" w:hAnsi="Times New Roman"/>
                <w:color w:val="000000"/>
                <w:highlight w:val="none"/>
              </w:rPr>
            </w:pPr>
            <w:r>
              <w:rPr>
                <w:rFonts w:ascii="Times New Roman" w:hAnsi="Times New Roman"/>
                <w:color w:val="000000"/>
                <w:spacing w:val="3"/>
                <w:highlight w:val="none"/>
              </w:rPr>
              <w:t>人工井</w:t>
            </w:r>
          </w:p>
        </w:tc>
        <w:tc>
          <w:tcPr>
            <w:tcW w:w="544" w:type="pct"/>
            <w:noWrap w:val="0"/>
            <w:vAlign w:val="top"/>
          </w:tcPr>
          <w:p w14:paraId="4E8FD01F">
            <w:pPr>
              <w:pStyle w:val="9"/>
              <w:keepNext w:val="0"/>
              <w:keepLines w:val="0"/>
              <w:pageBreakBefore w:val="0"/>
              <w:wordWrap/>
              <w:overflowPunct/>
              <w:topLinePunct w:val="0"/>
              <w:bidi w:val="0"/>
              <w:spacing w:before="141" w:line="560" w:lineRule="exact"/>
              <w:ind w:left="134"/>
              <w:rPr>
                <w:rFonts w:ascii="Times New Roman" w:hAnsi="Times New Roman"/>
                <w:color w:val="000000"/>
                <w:highlight w:val="none"/>
              </w:rPr>
            </w:pPr>
            <w:r>
              <w:rPr>
                <w:rFonts w:ascii="Times New Roman" w:hAnsi="Times New Roman"/>
                <w:color w:val="000000"/>
                <w:spacing w:val="2"/>
                <w:highlight w:val="none"/>
              </w:rPr>
              <w:t>元/眼</w:t>
            </w:r>
          </w:p>
        </w:tc>
        <w:tc>
          <w:tcPr>
            <w:tcW w:w="1287" w:type="pct"/>
            <w:noWrap w:val="0"/>
            <w:vAlign w:val="top"/>
          </w:tcPr>
          <w:p w14:paraId="65D450C9">
            <w:pPr>
              <w:pStyle w:val="9"/>
              <w:keepNext w:val="0"/>
              <w:keepLines w:val="0"/>
              <w:pageBreakBefore w:val="0"/>
              <w:wordWrap/>
              <w:overflowPunct/>
              <w:topLinePunct w:val="0"/>
              <w:bidi w:val="0"/>
              <w:spacing w:before="210" w:line="560" w:lineRule="exact"/>
              <w:ind w:left="854"/>
              <w:rPr>
                <w:rFonts w:ascii="Times New Roman" w:hAnsi="Times New Roman"/>
                <w:color w:val="000000"/>
                <w:highlight w:val="none"/>
              </w:rPr>
            </w:pPr>
            <w:r>
              <w:rPr>
                <w:rFonts w:ascii="Times New Roman" w:hAnsi="Times New Roman"/>
                <w:color w:val="000000"/>
                <w:spacing w:val="-3"/>
                <w:highlight w:val="none"/>
              </w:rPr>
              <w:t>8400</w:t>
            </w:r>
          </w:p>
        </w:tc>
        <w:tc>
          <w:tcPr>
            <w:tcW w:w="1233" w:type="pct"/>
            <w:noWrap w:val="0"/>
            <w:vAlign w:val="top"/>
          </w:tcPr>
          <w:p w14:paraId="6F14C9D3">
            <w:pPr>
              <w:keepNext w:val="0"/>
              <w:keepLines w:val="0"/>
              <w:pageBreakBefore w:val="0"/>
              <w:wordWrap/>
              <w:overflowPunct/>
              <w:topLinePunct w:val="0"/>
              <w:bidi w:val="0"/>
              <w:spacing w:line="560" w:lineRule="exact"/>
              <w:rPr>
                <w:rFonts w:ascii="Times New Roman" w:hAnsi="Times New Roman"/>
                <w:color w:val="000000"/>
                <w:sz w:val="21"/>
                <w:highlight w:val="none"/>
              </w:rPr>
            </w:pPr>
          </w:p>
        </w:tc>
      </w:tr>
      <w:tr w14:paraId="16687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199CF035">
            <w:pPr>
              <w:pStyle w:val="9"/>
              <w:keepNext w:val="0"/>
              <w:keepLines w:val="0"/>
              <w:pageBreakBefore w:val="0"/>
              <w:wordWrap/>
              <w:overflowPunct/>
              <w:topLinePunct w:val="0"/>
              <w:bidi w:val="0"/>
              <w:spacing w:before="207" w:line="560" w:lineRule="exact"/>
              <w:ind w:left="234" w:leftChars="0"/>
              <w:rPr>
                <w:rFonts w:hint="eastAsia" w:ascii="Times New Roman" w:hAnsi="Times New Roman" w:eastAsia="宋体" w:cs="宋体"/>
                <w:snapToGrid w:val="0"/>
                <w:color w:val="000000"/>
                <w:kern w:val="0"/>
                <w:sz w:val="28"/>
                <w:szCs w:val="28"/>
                <w:highlight w:val="none"/>
                <w:lang w:val="en-US" w:eastAsia="zh-CN" w:bidi="ar-SA"/>
              </w:rPr>
            </w:pPr>
            <w:r>
              <w:rPr>
                <w:rFonts w:ascii="Times New Roman" w:hAnsi="Times New Roman"/>
                <w:color w:val="000000"/>
                <w:spacing w:val="-8"/>
                <w:sz w:val="28"/>
                <w:szCs w:val="28"/>
                <w:highlight w:val="none"/>
              </w:rPr>
              <w:t>1</w:t>
            </w:r>
            <w:r>
              <w:rPr>
                <w:rFonts w:hint="eastAsia" w:ascii="Times New Roman" w:hAnsi="Times New Roman"/>
                <w:color w:val="000000"/>
                <w:spacing w:val="-8"/>
                <w:sz w:val="28"/>
                <w:szCs w:val="28"/>
                <w:highlight w:val="none"/>
                <w:lang w:val="en-US" w:eastAsia="zh-CN"/>
              </w:rPr>
              <w:t>2</w:t>
            </w:r>
          </w:p>
        </w:tc>
        <w:tc>
          <w:tcPr>
            <w:tcW w:w="1497" w:type="pct"/>
            <w:noWrap w:val="0"/>
            <w:vAlign w:val="top"/>
          </w:tcPr>
          <w:p w14:paraId="73D12CEF">
            <w:pPr>
              <w:pStyle w:val="9"/>
              <w:keepNext w:val="0"/>
              <w:keepLines w:val="0"/>
              <w:pageBreakBefore w:val="0"/>
              <w:wordWrap/>
              <w:overflowPunct/>
              <w:topLinePunct w:val="0"/>
              <w:bidi w:val="0"/>
              <w:spacing w:before="136" w:line="560" w:lineRule="exact"/>
              <w:ind w:left="890"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单管井</w:t>
            </w:r>
          </w:p>
        </w:tc>
        <w:tc>
          <w:tcPr>
            <w:tcW w:w="544" w:type="pct"/>
            <w:noWrap w:val="0"/>
            <w:vAlign w:val="top"/>
          </w:tcPr>
          <w:p w14:paraId="70969850">
            <w:pPr>
              <w:pStyle w:val="9"/>
              <w:keepNext w:val="0"/>
              <w:keepLines w:val="0"/>
              <w:pageBreakBefore w:val="0"/>
              <w:wordWrap/>
              <w:overflowPunct/>
              <w:topLinePunct w:val="0"/>
              <w:bidi w:val="0"/>
              <w:spacing w:before="137" w:line="560" w:lineRule="exact"/>
              <w:ind w:left="123"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元/眼</w:t>
            </w:r>
          </w:p>
        </w:tc>
        <w:tc>
          <w:tcPr>
            <w:tcW w:w="1287" w:type="pct"/>
            <w:noWrap w:val="0"/>
            <w:vAlign w:val="top"/>
          </w:tcPr>
          <w:p w14:paraId="350C134D">
            <w:pPr>
              <w:pStyle w:val="9"/>
              <w:keepNext w:val="0"/>
              <w:keepLines w:val="0"/>
              <w:pageBreakBefore w:val="0"/>
              <w:wordWrap/>
              <w:overflowPunct/>
              <w:topLinePunct w:val="0"/>
              <w:bidi w:val="0"/>
              <w:spacing w:before="208" w:line="560" w:lineRule="exact"/>
              <w:ind w:left="84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3000</w:t>
            </w:r>
          </w:p>
        </w:tc>
        <w:tc>
          <w:tcPr>
            <w:tcW w:w="1233" w:type="pct"/>
            <w:noWrap w:val="0"/>
            <w:vAlign w:val="top"/>
          </w:tcPr>
          <w:p w14:paraId="36E9DBFE">
            <w:pPr>
              <w:keepNext w:val="0"/>
              <w:keepLines w:val="0"/>
              <w:pageBreakBefore w:val="0"/>
              <w:wordWrap/>
              <w:overflowPunct/>
              <w:topLinePunct w:val="0"/>
              <w:bidi w:val="0"/>
              <w:spacing w:line="560" w:lineRule="exact"/>
              <w:rPr>
                <w:rFonts w:ascii="Times New Roman" w:hAnsi="Times New Roman" w:eastAsia="Arial" w:cs="Arial"/>
                <w:snapToGrid w:val="0"/>
                <w:color w:val="000000"/>
                <w:kern w:val="0"/>
                <w:sz w:val="21"/>
                <w:szCs w:val="21"/>
                <w:highlight w:val="none"/>
                <w:lang w:val="en-US" w:eastAsia="en-US" w:bidi="ar-SA"/>
              </w:rPr>
            </w:pPr>
          </w:p>
        </w:tc>
      </w:tr>
      <w:tr w14:paraId="57E8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23AD062D">
            <w:pPr>
              <w:pStyle w:val="9"/>
              <w:keepNext w:val="0"/>
              <w:keepLines w:val="0"/>
              <w:pageBreakBefore w:val="0"/>
              <w:wordWrap/>
              <w:overflowPunct/>
              <w:topLinePunct w:val="0"/>
              <w:bidi w:val="0"/>
              <w:spacing w:before="202" w:line="560" w:lineRule="exact"/>
              <w:ind w:left="234" w:leftChars="0"/>
              <w:rPr>
                <w:rFonts w:hint="eastAsia" w:ascii="Times New Roman" w:hAnsi="Times New Roman" w:eastAsia="宋体" w:cs="宋体"/>
                <w:snapToGrid w:val="0"/>
                <w:color w:val="000000"/>
                <w:kern w:val="0"/>
                <w:sz w:val="28"/>
                <w:szCs w:val="28"/>
                <w:highlight w:val="none"/>
                <w:lang w:val="en-US" w:eastAsia="zh-CN" w:bidi="ar-SA"/>
              </w:rPr>
            </w:pPr>
            <w:r>
              <w:rPr>
                <w:rFonts w:ascii="Times New Roman" w:hAnsi="Times New Roman"/>
                <w:color w:val="000000"/>
                <w:spacing w:val="-8"/>
                <w:sz w:val="28"/>
                <w:szCs w:val="28"/>
                <w:highlight w:val="none"/>
              </w:rPr>
              <w:t>1</w:t>
            </w:r>
            <w:r>
              <w:rPr>
                <w:rFonts w:hint="eastAsia" w:ascii="Times New Roman" w:hAnsi="Times New Roman"/>
                <w:color w:val="000000"/>
                <w:spacing w:val="-8"/>
                <w:sz w:val="28"/>
                <w:szCs w:val="28"/>
                <w:highlight w:val="none"/>
                <w:lang w:val="en-US" w:eastAsia="zh-CN"/>
              </w:rPr>
              <w:t>3</w:t>
            </w:r>
          </w:p>
        </w:tc>
        <w:tc>
          <w:tcPr>
            <w:tcW w:w="1497" w:type="pct"/>
            <w:noWrap w:val="0"/>
            <w:vAlign w:val="top"/>
          </w:tcPr>
          <w:p w14:paraId="24BCEF9D">
            <w:pPr>
              <w:pStyle w:val="9"/>
              <w:keepNext w:val="0"/>
              <w:keepLines w:val="0"/>
              <w:pageBreakBefore w:val="0"/>
              <w:wordWrap/>
              <w:overflowPunct/>
              <w:topLinePunct w:val="0"/>
              <w:bidi w:val="0"/>
              <w:spacing w:before="131" w:line="560" w:lineRule="exact"/>
              <w:ind w:left="1031"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5"/>
                <w:sz w:val="28"/>
                <w:szCs w:val="28"/>
                <w:highlight w:val="none"/>
              </w:rPr>
              <w:t>菜窖</w:t>
            </w:r>
          </w:p>
        </w:tc>
        <w:tc>
          <w:tcPr>
            <w:tcW w:w="544" w:type="pct"/>
            <w:noWrap w:val="0"/>
            <w:vAlign w:val="top"/>
          </w:tcPr>
          <w:p w14:paraId="69FD24A0">
            <w:pPr>
              <w:pStyle w:val="9"/>
              <w:keepNext w:val="0"/>
              <w:keepLines w:val="0"/>
              <w:pageBreakBefore w:val="0"/>
              <w:wordWrap/>
              <w:overflowPunct/>
              <w:topLinePunct w:val="0"/>
              <w:bidi w:val="0"/>
              <w:spacing w:before="131" w:line="560" w:lineRule="exact"/>
              <w:ind w:left="123"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元/个</w:t>
            </w:r>
          </w:p>
        </w:tc>
        <w:tc>
          <w:tcPr>
            <w:tcW w:w="1287" w:type="pct"/>
            <w:noWrap w:val="0"/>
            <w:vAlign w:val="top"/>
          </w:tcPr>
          <w:p w14:paraId="36ADFB66">
            <w:pPr>
              <w:pStyle w:val="9"/>
              <w:keepNext w:val="0"/>
              <w:keepLines w:val="0"/>
              <w:pageBreakBefore w:val="0"/>
              <w:wordWrap/>
              <w:overflowPunct/>
              <w:topLinePunct w:val="0"/>
              <w:bidi w:val="0"/>
              <w:spacing w:before="202" w:line="560" w:lineRule="exact"/>
              <w:ind w:left="84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6"/>
                <w:sz w:val="28"/>
                <w:szCs w:val="28"/>
                <w:highlight w:val="none"/>
              </w:rPr>
              <w:t>1500</w:t>
            </w:r>
          </w:p>
        </w:tc>
        <w:tc>
          <w:tcPr>
            <w:tcW w:w="1233" w:type="pct"/>
            <w:noWrap w:val="0"/>
            <w:vAlign w:val="top"/>
          </w:tcPr>
          <w:p w14:paraId="480635A2">
            <w:pPr>
              <w:keepNext w:val="0"/>
              <w:keepLines w:val="0"/>
              <w:pageBreakBefore w:val="0"/>
              <w:wordWrap/>
              <w:overflowPunct/>
              <w:topLinePunct w:val="0"/>
              <w:bidi w:val="0"/>
              <w:spacing w:line="560" w:lineRule="exact"/>
              <w:rPr>
                <w:rFonts w:ascii="Times New Roman" w:hAnsi="Times New Roman" w:eastAsia="Arial" w:cs="Arial"/>
                <w:snapToGrid w:val="0"/>
                <w:color w:val="000000"/>
                <w:kern w:val="0"/>
                <w:sz w:val="21"/>
                <w:szCs w:val="21"/>
                <w:highlight w:val="none"/>
                <w:lang w:val="en-US" w:eastAsia="en-US" w:bidi="ar-SA"/>
              </w:rPr>
            </w:pPr>
          </w:p>
        </w:tc>
      </w:tr>
      <w:tr w14:paraId="7B28D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6BEC799B">
            <w:pPr>
              <w:pStyle w:val="9"/>
              <w:keepNext w:val="0"/>
              <w:keepLines w:val="0"/>
              <w:pageBreakBefore w:val="0"/>
              <w:wordWrap/>
              <w:overflowPunct/>
              <w:topLinePunct w:val="0"/>
              <w:bidi w:val="0"/>
              <w:spacing w:before="202" w:line="560" w:lineRule="exact"/>
              <w:ind w:left="234" w:leftChars="0"/>
              <w:rPr>
                <w:rFonts w:hint="eastAsia" w:ascii="Times New Roman" w:hAnsi="Times New Roman" w:eastAsia="宋体" w:cs="宋体"/>
                <w:snapToGrid w:val="0"/>
                <w:color w:val="000000"/>
                <w:kern w:val="0"/>
                <w:sz w:val="28"/>
                <w:szCs w:val="28"/>
                <w:highlight w:val="none"/>
                <w:lang w:val="en-US" w:eastAsia="zh-CN" w:bidi="ar-SA"/>
              </w:rPr>
            </w:pPr>
            <w:r>
              <w:rPr>
                <w:rFonts w:ascii="Times New Roman" w:hAnsi="Times New Roman"/>
                <w:color w:val="000000"/>
                <w:spacing w:val="-8"/>
                <w:sz w:val="28"/>
                <w:szCs w:val="28"/>
                <w:highlight w:val="none"/>
              </w:rPr>
              <w:t>1</w:t>
            </w:r>
            <w:r>
              <w:rPr>
                <w:rFonts w:hint="eastAsia" w:ascii="Times New Roman" w:hAnsi="Times New Roman"/>
                <w:color w:val="000000"/>
                <w:spacing w:val="-8"/>
                <w:sz w:val="28"/>
                <w:szCs w:val="28"/>
                <w:highlight w:val="none"/>
                <w:lang w:val="en-US" w:eastAsia="zh-CN"/>
              </w:rPr>
              <w:t>4</w:t>
            </w:r>
          </w:p>
        </w:tc>
        <w:tc>
          <w:tcPr>
            <w:tcW w:w="1497" w:type="pct"/>
            <w:noWrap w:val="0"/>
            <w:vAlign w:val="top"/>
          </w:tcPr>
          <w:p w14:paraId="335ACD95">
            <w:pPr>
              <w:pStyle w:val="9"/>
              <w:keepNext w:val="0"/>
              <w:keepLines w:val="0"/>
              <w:pageBreakBefore w:val="0"/>
              <w:wordWrap/>
              <w:overflowPunct/>
              <w:topLinePunct w:val="0"/>
              <w:bidi w:val="0"/>
              <w:spacing w:before="131" w:line="560" w:lineRule="exact"/>
              <w:ind w:left="890"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污水井</w:t>
            </w:r>
          </w:p>
        </w:tc>
        <w:tc>
          <w:tcPr>
            <w:tcW w:w="544" w:type="pct"/>
            <w:noWrap w:val="0"/>
            <w:vAlign w:val="top"/>
          </w:tcPr>
          <w:p w14:paraId="0010C227">
            <w:pPr>
              <w:pStyle w:val="9"/>
              <w:keepNext w:val="0"/>
              <w:keepLines w:val="0"/>
              <w:pageBreakBefore w:val="0"/>
              <w:wordWrap/>
              <w:overflowPunct/>
              <w:topLinePunct w:val="0"/>
              <w:bidi w:val="0"/>
              <w:spacing w:before="131" w:line="560" w:lineRule="exact"/>
              <w:ind w:left="123"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元/个</w:t>
            </w:r>
          </w:p>
        </w:tc>
        <w:tc>
          <w:tcPr>
            <w:tcW w:w="1287" w:type="pct"/>
            <w:noWrap w:val="0"/>
            <w:vAlign w:val="top"/>
          </w:tcPr>
          <w:p w14:paraId="110C65AA">
            <w:pPr>
              <w:pStyle w:val="9"/>
              <w:keepNext w:val="0"/>
              <w:keepLines w:val="0"/>
              <w:pageBreakBefore w:val="0"/>
              <w:wordWrap/>
              <w:overflowPunct/>
              <w:topLinePunct w:val="0"/>
              <w:bidi w:val="0"/>
              <w:spacing w:before="202" w:line="560" w:lineRule="exact"/>
              <w:ind w:left="84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6"/>
                <w:sz w:val="28"/>
                <w:szCs w:val="28"/>
                <w:highlight w:val="none"/>
              </w:rPr>
              <w:t>1500</w:t>
            </w:r>
          </w:p>
        </w:tc>
        <w:tc>
          <w:tcPr>
            <w:tcW w:w="1233" w:type="pct"/>
            <w:noWrap w:val="0"/>
            <w:vAlign w:val="top"/>
          </w:tcPr>
          <w:p w14:paraId="37ABC681">
            <w:pPr>
              <w:keepNext w:val="0"/>
              <w:keepLines w:val="0"/>
              <w:pageBreakBefore w:val="0"/>
              <w:wordWrap/>
              <w:overflowPunct/>
              <w:topLinePunct w:val="0"/>
              <w:bidi w:val="0"/>
              <w:spacing w:line="560" w:lineRule="exact"/>
              <w:rPr>
                <w:rFonts w:ascii="Times New Roman" w:hAnsi="Times New Roman" w:eastAsia="Arial" w:cs="Arial"/>
                <w:snapToGrid w:val="0"/>
                <w:color w:val="000000"/>
                <w:kern w:val="0"/>
                <w:sz w:val="21"/>
                <w:szCs w:val="21"/>
                <w:highlight w:val="none"/>
                <w:lang w:val="en-US" w:eastAsia="en-US" w:bidi="ar-SA"/>
              </w:rPr>
            </w:pPr>
          </w:p>
        </w:tc>
      </w:tr>
      <w:tr w14:paraId="1C9C8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1652D8E8">
            <w:pPr>
              <w:pStyle w:val="9"/>
              <w:keepNext w:val="0"/>
              <w:keepLines w:val="0"/>
              <w:pageBreakBefore w:val="0"/>
              <w:wordWrap/>
              <w:overflowPunct/>
              <w:topLinePunct w:val="0"/>
              <w:bidi w:val="0"/>
              <w:spacing w:before="204" w:line="560" w:lineRule="exact"/>
              <w:ind w:left="234" w:leftChars="0"/>
              <w:rPr>
                <w:rFonts w:hint="default" w:ascii="Times New Roman" w:hAnsi="Times New Roman" w:eastAsia="宋体" w:cs="宋体"/>
                <w:snapToGrid w:val="0"/>
                <w:color w:val="000000"/>
                <w:kern w:val="0"/>
                <w:sz w:val="28"/>
                <w:szCs w:val="28"/>
                <w:highlight w:val="none"/>
                <w:lang w:val="en-US" w:eastAsia="zh-CN" w:bidi="ar-SA"/>
              </w:rPr>
            </w:pPr>
            <w:r>
              <w:rPr>
                <w:rFonts w:hint="eastAsia" w:ascii="Times New Roman" w:hAnsi="Times New Roman"/>
                <w:color w:val="000000"/>
                <w:spacing w:val="-4"/>
                <w:sz w:val="28"/>
                <w:szCs w:val="28"/>
                <w:highlight w:val="none"/>
                <w:lang w:val="en-US" w:eastAsia="zh-CN"/>
              </w:rPr>
              <w:t>15</w:t>
            </w:r>
          </w:p>
        </w:tc>
        <w:tc>
          <w:tcPr>
            <w:tcW w:w="1497" w:type="pct"/>
            <w:noWrap w:val="0"/>
            <w:vAlign w:val="top"/>
          </w:tcPr>
          <w:p w14:paraId="085507EB">
            <w:pPr>
              <w:pStyle w:val="9"/>
              <w:keepNext w:val="0"/>
              <w:keepLines w:val="0"/>
              <w:pageBreakBefore w:val="0"/>
              <w:wordWrap/>
              <w:overflowPunct/>
              <w:topLinePunct w:val="0"/>
              <w:bidi w:val="0"/>
              <w:spacing w:before="133" w:line="560" w:lineRule="exact"/>
              <w:ind w:left="890"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3"/>
                <w:sz w:val="28"/>
                <w:szCs w:val="28"/>
                <w:highlight w:val="none"/>
              </w:rPr>
              <w:t>网围栏</w:t>
            </w:r>
          </w:p>
        </w:tc>
        <w:tc>
          <w:tcPr>
            <w:tcW w:w="544" w:type="pct"/>
            <w:noWrap w:val="0"/>
            <w:vAlign w:val="top"/>
          </w:tcPr>
          <w:p w14:paraId="75DDE0B5">
            <w:pPr>
              <w:pStyle w:val="9"/>
              <w:keepNext w:val="0"/>
              <w:keepLines w:val="0"/>
              <w:pageBreakBefore w:val="0"/>
              <w:wordWrap/>
              <w:overflowPunct/>
              <w:topLinePunct w:val="0"/>
              <w:bidi w:val="0"/>
              <w:spacing w:before="133" w:line="560" w:lineRule="exact"/>
              <w:ind w:left="19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76A24B9B">
            <w:pPr>
              <w:pStyle w:val="9"/>
              <w:keepNext w:val="0"/>
              <w:keepLines w:val="0"/>
              <w:pageBreakBefore w:val="0"/>
              <w:wordWrap/>
              <w:overflowPunct/>
              <w:topLinePunct w:val="0"/>
              <w:bidi w:val="0"/>
              <w:spacing w:before="206" w:line="560" w:lineRule="exact"/>
              <w:ind w:left="105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z w:val="28"/>
                <w:szCs w:val="28"/>
                <w:highlight w:val="none"/>
              </w:rPr>
              <w:t>7</w:t>
            </w:r>
          </w:p>
        </w:tc>
        <w:tc>
          <w:tcPr>
            <w:tcW w:w="1233" w:type="pct"/>
            <w:noWrap w:val="0"/>
            <w:vAlign w:val="top"/>
          </w:tcPr>
          <w:p w14:paraId="452E6A57">
            <w:pPr>
              <w:keepNext w:val="0"/>
              <w:keepLines w:val="0"/>
              <w:pageBreakBefore w:val="0"/>
              <w:wordWrap/>
              <w:overflowPunct/>
              <w:topLinePunct w:val="0"/>
              <w:bidi w:val="0"/>
              <w:spacing w:line="560" w:lineRule="exact"/>
              <w:rPr>
                <w:rFonts w:ascii="Times New Roman" w:hAnsi="Times New Roman" w:eastAsia="Arial" w:cs="Arial"/>
                <w:snapToGrid w:val="0"/>
                <w:color w:val="000000"/>
                <w:kern w:val="0"/>
                <w:sz w:val="21"/>
                <w:szCs w:val="21"/>
                <w:highlight w:val="none"/>
                <w:lang w:val="en-US" w:eastAsia="en-US" w:bidi="ar-SA"/>
              </w:rPr>
            </w:pPr>
          </w:p>
        </w:tc>
      </w:tr>
      <w:tr w14:paraId="263E9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1DEC1C9C">
            <w:pPr>
              <w:pStyle w:val="9"/>
              <w:keepNext w:val="0"/>
              <w:keepLines w:val="0"/>
              <w:pageBreakBefore w:val="0"/>
              <w:wordWrap/>
              <w:overflowPunct/>
              <w:topLinePunct w:val="0"/>
              <w:bidi w:val="0"/>
              <w:spacing w:before="213" w:line="560" w:lineRule="exact"/>
              <w:ind w:left="234" w:leftChars="0"/>
              <w:rPr>
                <w:rFonts w:hint="default" w:ascii="Times New Roman" w:hAnsi="Times New Roman" w:eastAsia="宋体" w:cs="宋体"/>
                <w:snapToGrid w:val="0"/>
                <w:color w:val="000000"/>
                <w:kern w:val="0"/>
                <w:sz w:val="28"/>
                <w:szCs w:val="28"/>
                <w:highlight w:val="none"/>
                <w:lang w:val="en-US" w:eastAsia="zh-CN" w:bidi="ar-SA"/>
              </w:rPr>
            </w:pPr>
            <w:r>
              <w:rPr>
                <w:rFonts w:hint="eastAsia" w:ascii="Times New Roman" w:hAnsi="Times New Roman"/>
                <w:color w:val="000000"/>
                <w:spacing w:val="-4"/>
                <w:sz w:val="28"/>
                <w:szCs w:val="28"/>
                <w:highlight w:val="none"/>
                <w:lang w:val="en-US" w:eastAsia="zh-CN"/>
              </w:rPr>
              <w:t>16</w:t>
            </w:r>
          </w:p>
        </w:tc>
        <w:tc>
          <w:tcPr>
            <w:tcW w:w="1497" w:type="pct"/>
            <w:noWrap w:val="0"/>
            <w:vAlign w:val="top"/>
          </w:tcPr>
          <w:p w14:paraId="2DCA90D0">
            <w:pPr>
              <w:pStyle w:val="9"/>
              <w:keepNext w:val="0"/>
              <w:keepLines w:val="0"/>
              <w:pageBreakBefore w:val="0"/>
              <w:wordWrap/>
              <w:overflowPunct/>
              <w:topLinePunct w:val="0"/>
              <w:bidi w:val="0"/>
              <w:spacing w:before="143" w:line="560" w:lineRule="exact"/>
              <w:ind w:left="1031"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13"/>
                <w:sz w:val="28"/>
                <w:szCs w:val="28"/>
                <w:highlight w:val="none"/>
              </w:rPr>
              <w:t>片网</w:t>
            </w:r>
          </w:p>
        </w:tc>
        <w:tc>
          <w:tcPr>
            <w:tcW w:w="544" w:type="pct"/>
            <w:noWrap w:val="0"/>
            <w:vAlign w:val="top"/>
          </w:tcPr>
          <w:p w14:paraId="6E190E01">
            <w:pPr>
              <w:pStyle w:val="9"/>
              <w:keepNext w:val="0"/>
              <w:keepLines w:val="0"/>
              <w:pageBreakBefore w:val="0"/>
              <w:wordWrap/>
              <w:overflowPunct/>
              <w:topLinePunct w:val="0"/>
              <w:bidi w:val="0"/>
              <w:spacing w:before="143" w:line="560" w:lineRule="exact"/>
              <w:ind w:left="19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6DD6B004">
            <w:pPr>
              <w:pStyle w:val="9"/>
              <w:keepNext w:val="0"/>
              <w:keepLines w:val="0"/>
              <w:pageBreakBefore w:val="0"/>
              <w:wordWrap/>
              <w:overflowPunct/>
              <w:topLinePunct w:val="0"/>
              <w:bidi w:val="0"/>
              <w:spacing w:before="213" w:line="560" w:lineRule="exact"/>
              <w:ind w:left="98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8"/>
                <w:sz w:val="28"/>
                <w:szCs w:val="28"/>
                <w:highlight w:val="none"/>
              </w:rPr>
              <w:t>11</w:t>
            </w:r>
          </w:p>
        </w:tc>
        <w:tc>
          <w:tcPr>
            <w:tcW w:w="1233" w:type="pct"/>
            <w:noWrap w:val="0"/>
            <w:vAlign w:val="top"/>
          </w:tcPr>
          <w:p w14:paraId="0FB78217">
            <w:pPr>
              <w:keepNext w:val="0"/>
              <w:keepLines w:val="0"/>
              <w:pageBreakBefore w:val="0"/>
              <w:wordWrap/>
              <w:overflowPunct/>
              <w:topLinePunct w:val="0"/>
              <w:bidi w:val="0"/>
              <w:spacing w:line="560" w:lineRule="exact"/>
              <w:rPr>
                <w:rFonts w:ascii="Times New Roman" w:hAnsi="Times New Roman" w:eastAsia="Arial" w:cs="Arial"/>
                <w:snapToGrid w:val="0"/>
                <w:color w:val="000000"/>
                <w:kern w:val="0"/>
                <w:sz w:val="21"/>
                <w:szCs w:val="21"/>
                <w:highlight w:val="none"/>
                <w:lang w:val="en-US" w:eastAsia="en-US" w:bidi="ar-SA"/>
              </w:rPr>
            </w:pPr>
          </w:p>
        </w:tc>
      </w:tr>
      <w:tr w14:paraId="202CE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51C4EF72">
            <w:pPr>
              <w:pStyle w:val="9"/>
              <w:keepNext w:val="0"/>
              <w:keepLines w:val="0"/>
              <w:pageBreakBefore w:val="0"/>
              <w:wordWrap/>
              <w:overflowPunct/>
              <w:topLinePunct w:val="0"/>
              <w:bidi w:val="0"/>
              <w:spacing w:before="215" w:line="560" w:lineRule="exact"/>
              <w:ind w:left="234" w:leftChars="0"/>
              <w:rPr>
                <w:rFonts w:hint="default" w:ascii="Times New Roman" w:hAnsi="Times New Roman" w:eastAsia="宋体" w:cs="宋体"/>
                <w:snapToGrid w:val="0"/>
                <w:color w:val="000000"/>
                <w:kern w:val="0"/>
                <w:sz w:val="28"/>
                <w:szCs w:val="28"/>
                <w:highlight w:val="none"/>
                <w:lang w:val="en-US" w:eastAsia="zh-CN" w:bidi="ar-SA"/>
              </w:rPr>
            </w:pPr>
            <w:r>
              <w:rPr>
                <w:rFonts w:hint="eastAsia" w:ascii="Times New Roman" w:hAnsi="Times New Roman"/>
                <w:color w:val="000000"/>
                <w:spacing w:val="-4"/>
                <w:sz w:val="28"/>
                <w:szCs w:val="28"/>
                <w:highlight w:val="none"/>
                <w:lang w:val="en-US" w:eastAsia="zh-CN"/>
              </w:rPr>
              <w:t>17</w:t>
            </w:r>
          </w:p>
        </w:tc>
        <w:tc>
          <w:tcPr>
            <w:tcW w:w="1497" w:type="pct"/>
            <w:noWrap w:val="0"/>
            <w:vAlign w:val="top"/>
          </w:tcPr>
          <w:p w14:paraId="1008C3B7">
            <w:pPr>
              <w:pStyle w:val="9"/>
              <w:keepNext w:val="0"/>
              <w:keepLines w:val="0"/>
              <w:pageBreakBefore w:val="0"/>
              <w:wordWrap/>
              <w:overflowPunct/>
              <w:topLinePunct w:val="0"/>
              <w:bidi w:val="0"/>
              <w:spacing w:before="144" w:line="560" w:lineRule="exact"/>
              <w:ind w:left="1031"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5"/>
                <w:sz w:val="28"/>
                <w:szCs w:val="28"/>
                <w:highlight w:val="none"/>
              </w:rPr>
              <w:t>护栏</w:t>
            </w:r>
          </w:p>
        </w:tc>
        <w:tc>
          <w:tcPr>
            <w:tcW w:w="544" w:type="pct"/>
            <w:noWrap w:val="0"/>
            <w:vAlign w:val="top"/>
          </w:tcPr>
          <w:p w14:paraId="674399A3">
            <w:pPr>
              <w:pStyle w:val="9"/>
              <w:keepNext w:val="0"/>
              <w:keepLines w:val="0"/>
              <w:pageBreakBefore w:val="0"/>
              <w:wordWrap/>
              <w:overflowPunct/>
              <w:topLinePunct w:val="0"/>
              <w:bidi w:val="0"/>
              <w:spacing w:before="144" w:line="560" w:lineRule="exact"/>
              <w:ind w:left="19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0AE064D4">
            <w:pPr>
              <w:pStyle w:val="9"/>
              <w:keepNext w:val="0"/>
              <w:keepLines w:val="0"/>
              <w:pageBreakBefore w:val="0"/>
              <w:wordWrap/>
              <w:overflowPunct/>
              <w:topLinePunct w:val="0"/>
              <w:bidi w:val="0"/>
              <w:spacing w:before="214" w:line="560" w:lineRule="exact"/>
              <w:ind w:left="984" w:leftChars="0"/>
              <w:rPr>
                <w:rFonts w:ascii="Times New Roman" w:hAnsi="Times New Roman" w:eastAsia="宋体" w:cs="宋体"/>
                <w:snapToGrid w:val="0"/>
                <w:color w:val="000000"/>
                <w:kern w:val="0"/>
                <w:sz w:val="28"/>
                <w:szCs w:val="28"/>
                <w:highlight w:val="none"/>
                <w:lang w:val="en-US" w:eastAsia="en-US" w:bidi="ar-SA"/>
              </w:rPr>
            </w:pPr>
            <w:r>
              <w:rPr>
                <w:rFonts w:ascii="Times New Roman" w:hAnsi="Times New Roman"/>
                <w:color w:val="000000"/>
                <w:spacing w:val="-8"/>
                <w:sz w:val="28"/>
                <w:szCs w:val="28"/>
                <w:highlight w:val="none"/>
              </w:rPr>
              <w:t>15</w:t>
            </w:r>
          </w:p>
        </w:tc>
        <w:tc>
          <w:tcPr>
            <w:tcW w:w="1233" w:type="pct"/>
            <w:noWrap w:val="0"/>
            <w:vAlign w:val="top"/>
          </w:tcPr>
          <w:p w14:paraId="018DC8C6">
            <w:pPr>
              <w:keepNext w:val="0"/>
              <w:keepLines w:val="0"/>
              <w:pageBreakBefore w:val="0"/>
              <w:wordWrap/>
              <w:overflowPunct/>
              <w:topLinePunct w:val="0"/>
              <w:bidi w:val="0"/>
              <w:spacing w:line="560" w:lineRule="exact"/>
              <w:rPr>
                <w:rFonts w:ascii="Times New Roman" w:hAnsi="Times New Roman" w:eastAsia="Arial" w:cs="Arial"/>
                <w:snapToGrid w:val="0"/>
                <w:color w:val="000000"/>
                <w:kern w:val="0"/>
                <w:sz w:val="21"/>
                <w:szCs w:val="21"/>
                <w:highlight w:val="none"/>
                <w:lang w:val="en-US" w:eastAsia="en-US" w:bidi="ar-SA"/>
              </w:rPr>
            </w:pPr>
          </w:p>
        </w:tc>
      </w:tr>
      <w:tr w14:paraId="5BB92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1C66C99F">
            <w:pPr>
              <w:pStyle w:val="9"/>
              <w:keepNext w:val="0"/>
              <w:keepLines w:val="0"/>
              <w:pageBreakBefore w:val="0"/>
              <w:wordWrap/>
              <w:overflowPunct/>
              <w:topLinePunct w:val="0"/>
              <w:bidi w:val="0"/>
              <w:spacing w:before="206"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4"/>
                <w:sz w:val="28"/>
                <w:szCs w:val="28"/>
                <w:highlight w:val="none"/>
                <w:lang w:val="en-US" w:eastAsia="zh-CN"/>
              </w:rPr>
              <w:t>18</w:t>
            </w:r>
          </w:p>
        </w:tc>
        <w:tc>
          <w:tcPr>
            <w:tcW w:w="1497" w:type="pct"/>
            <w:noWrap w:val="0"/>
            <w:vAlign w:val="top"/>
          </w:tcPr>
          <w:p w14:paraId="2042E046">
            <w:pPr>
              <w:pStyle w:val="9"/>
              <w:keepNext w:val="0"/>
              <w:keepLines w:val="0"/>
              <w:pageBreakBefore w:val="0"/>
              <w:wordWrap/>
              <w:overflowPunct/>
              <w:topLinePunct w:val="0"/>
              <w:bidi w:val="0"/>
              <w:spacing w:before="134" w:line="560" w:lineRule="exact"/>
              <w:ind w:left="61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动力地埋线</w:t>
            </w:r>
          </w:p>
        </w:tc>
        <w:tc>
          <w:tcPr>
            <w:tcW w:w="544" w:type="pct"/>
            <w:noWrap w:val="0"/>
            <w:vAlign w:val="top"/>
          </w:tcPr>
          <w:p w14:paraId="1DC20F65">
            <w:pPr>
              <w:pStyle w:val="9"/>
              <w:keepNext w:val="0"/>
              <w:keepLines w:val="0"/>
              <w:pageBreakBefore w:val="0"/>
              <w:wordWrap/>
              <w:overflowPunct/>
              <w:topLinePunct w:val="0"/>
              <w:bidi w:val="0"/>
              <w:spacing w:before="135"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303B5EDB">
            <w:pPr>
              <w:pStyle w:val="9"/>
              <w:keepNext w:val="0"/>
              <w:keepLines w:val="0"/>
              <w:pageBreakBefore w:val="0"/>
              <w:wordWrap/>
              <w:overflowPunct/>
              <w:topLinePunct w:val="0"/>
              <w:bidi w:val="0"/>
              <w:spacing w:before="206" w:line="560" w:lineRule="exact"/>
              <w:ind w:left="98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23</w:t>
            </w:r>
          </w:p>
        </w:tc>
        <w:tc>
          <w:tcPr>
            <w:tcW w:w="1233" w:type="pct"/>
            <w:noWrap w:val="0"/>
            <w:vAlign w:val="top"/>
          </w:tcPr>
          <w:p w14:paraId="3A843E70">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256D8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5316B88C">
            <w:pPr>
              <w:pStyle w:val="9"/>
              <w:keepNext w:val="0"/>
              <w:keepLines w:val="0"/>
              <w:pageBreakBefore w:val="0"/>
              <w:wordWrap/>
              <w:overflowPunct/>
              <w:topLinePunct w:val="0"/>
              <w:bidi w:val="0"/>
              <w:spacing w:before="206"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4"/>
                <w:sz w:val="28"/>
                <w:szCs w:val="28"/>
                <w:highlight w:val="none"/>
                <w:lang w:val="en-US" w:eastAsia="zh-CN"/>
              </w:rPr>
              <w:t>19</w:t>
            </w:r>
          </w:p>
        </w:tc>
        <w:tc>
          <w:tcPr>
            <w:tcW w:w="1497" w:type="pct"/>
            <w:noWrap w:val="0"/>
            <w:vAlign w:val="top"/>
          </w:tcPr>
          <w:p w14:paraId="43397170">
            <w:pPr>
              <w:pStyle w:val="9"/>
              <w:keepNext w:val="0"/>
              <w:keepLines w:val="0"/>
              <w:pageBreakBefore w:val="0"/>
              <w:wordWrap/>
              <w:overflowPunct/>
              <w:topLinePunct w:val="0"/>
              <w:bidi w:val="0"/>
              <w:spacing w:before="135" w:line="560" w:lineRule="exact"/>
              <w:ind w:left="89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6"/>
                <w:sz w:val="28"/>
                <w:szCs w:val="28"/>
                <w:highlight w:val="none"/>
              </w:rPr>
              <w:t>低压线</w:t>
            </w:r>
          </w:p>
        </w:tc>
        <w:tc>
          <w:tcPr>
            <w:tcW w:w="544" w:type="pct"/>
            <w:noWrap w:val="0"/>
            <w:vAlign w:val="top"/>
          </w:tcPr>
          <w:p w14:paraId="02AD60BD">
            <w:pPr>
              <w:pStyle w:val="9"/>
              <w:keepNext w:val="0"/>
              <w:keepLines w:val="0"/>
              <w:pageBreakBefore w:val="0"/>
              <w:wordWrap/>
              <w:overflowPunct/>
              <w:topLinePunct w:val="0"/>
              <w:bidi w:val="0"/>
              <w:spacing w:before="135"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20573FDC">
            <w:pPr>
              <w:pStyle w:val="9"/>
              <w:keepNext w:val="0"/>
              <w:keepLines w:val="0"/>
              <w:pageBreakBefore w:val="0"/>
              <w:wordWrap/>
              <w:overflowPunct/>
              <w:topLinePunct w:val="0"/>
              <w:bidi w:val="0"/>
              <w:spacing w:before="206" w:line="560" w:lineRule="exact"/>
              <w:ind w:left="98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40</w:t>
            </w:r>
          </w:p>
        </w:tc>
        <w:tc>
          <w:tcPr>
            <w:tcW w:w="1233" w:type="pct"/>
            <w:noWrap w:val="0"/>
            <w:vAlign w:val="top"/>
          </w:tcPr>
          <w:p w14:paraId="2D2EA96F">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50E6F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255F8E97">
            <w:pPr>
              <w:pStyle w:val="9"/>
              <w:keepNext w:val="0"/>
              <w:keepLines w:val="0"/>
              <w:pageBreakBefore w:val="0"/>
              <w:wordWrap/>
              <w:overflowPunct/>
              <w:topLinePunct w:val="0"/>
              <w:bidi w:val="0"/>
              <w:spacing w:before="216"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4"/>
                <w:sz w:val="28"/>
                <w:szCs w:val="28"/>
                <w:highlight w:val="none"/>
                <w:lang w:val="en-US" w:eastAsia="zh-CN"/>
              </w:rPr>
              <w:t>20</w:t>
            </w:r>
          </w:p>
        </w:tc>
        <w:tc>
          <w:tcPr>
            <w:tcW w:w="1497" w:type="pct"/>
            <w:noWrap w:val="0"/>
            <w:vAlign w:val="top"/>
          </w:tcPr>
          <w:p w14:paraId="7BD89FEA">
            <w:pPr>
              <w:pStyle w:val="9"/>
              <w:keepNext w:val="0"/>
              <w:keepLines w:val="0"/>
              <w:pageBreakBefore w:val="0"/>
              <w:wordWrap/>
              <w:overflowPunct/>
              <w:topLinePunct w:val="0"/>
              <w:bidi w:val="0"/>
              <w:spacing w:before="144" w:line="560" w:lineRule="exact"/>
              <w:ind w:left="89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6"/>
                <w:sz w:val="28"/>
                <w:szCs w:val="28"/>
                <w:highlight w:val="none"/>
              </w:rPr>
              <w:t>高压线</w:t>
            </w:r>
          </w:p>
        </w:tc>
        <w:tc>
          <w:tcPr>
            <w:tcW w:w="544" w:type="pct"/>
            <w:noWrap w:val="0"/>
            <w:vAlign w:val="top"/>
          </w:tcPr>
          <w:p w14:paraId="48705D61">
            <w:pPr>
              <w:pStyle w:val="9"/>
              <w:keepNext w:val="0"/>
              <w:keepLines w:val="0"/>
              <w:pageBreakBefore w:val="0"/>
              <w:wordWrap/>
              <w:overflowPunct/>
              <w:topLinePunct w:val="0"/>
              <w:bidi w:val="0"/>
              <w:spacing w:before="145"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70AE1944">
            <w:pPr>
              <w:pStyle w:val="9"/>
              <w:keepNext w:val="0"/>
              <w:keepLines w:val="0"/>
              <w:pageBreakBefore w:val="0"/>
              <w:wordWrap/>
              <w:overflowPunct/>
              <w:topLinePunct w:val="0"/>
              <w:bidi w:val="0"/>
              <w:spacing w:before="216" w:line="560" w:lineRule="exact"/>
              <w:ind w:left="98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5"/>
                <w:sz w:val="28"/>
                <w:szCs w:val="28"/>
                <w:highlight w:val="none"/>
              </w:rPr>
              <w:t>70</w:t>
            </w:r>
          </w:p>
        </w:tc>
        <w:tc>
          <w:tcPr>
            <w:tcW w:w="1233" w:type="pct"/>
            <w:noWrap w:val="0"/>
            <w:vAlign w:val="top"/>
          </w:tcPr>
          <w:p w14:paraId="5B1ADC4D">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13C66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753DDC15">
            <w:pPr>
              <w:pStyle w:val="9"/>
              <w:keepNext w:val="0"/>
              <w:keepLines w:val="0"/>
              <w:pageBreakBefore w:val="0"/>
              <w:wordWrap/>
              <w:overflowPunct/>
              <w:topLinePunct w:val="0"/>
              <w:bidi w:val="0"/>
              <w:spacing w:before="197"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ascii="Times New Roman" w:hAnsi="Times New Roman"/>
                <w:color w:val="000000"/>
                <w:spacing w:val="-4"/>
                <w:sz w:val="28"/>
                <w:szCs w:val="28"/>
                <w:highlight w:val="none"/>
              </w:rPr>
              <w:t>2</w:t>
            </w:r>
            <w:r>
              <w:rPr>
                <w:rFonts w:hint="eastAsia" w:ascii="Times New Roman" w:hAnsi="Times New Roman"/>
                <w:color w:val="000000"/>
                <w:spacing w:val="-4"/>
                <w:sz w:val="28"/>
                <w:szCs w:val="28"/>
                <w:highlight w:val="none"/>
                <w:lang w:val="en-US" w:eastAsia="zh-CN"/>
              </w:rPr>
              <w:t>1</w:t>
            </w:r>
          </w:p>
        </w:tc>
        <w:tc>
          <w:tcPr>
            <w:tcW w:w="1497" w:type="pct"/>
            <w:noWrap w:val="0"/>
            <w:vAlign w:val="top"/>
          </w:tcPr>
          <w:p w14:paraId="75C2A17A">
            <w:pPr>
              <w:pStyle w:val="9"/>
              <w:keepNext w:val="0"/>
              <w:keepLines w:val="0"/>
              <w:pageBreakBefore w:val="0"/>
              <w:wordWrap/>
              <w:overflowPunct/>
              <w:topLinePunct w:val="0"/>
              <w:bidi w:val="0"/>
              <w:spacing w:before="125" w:line="560" w:lineRule="exact"/>
              <w:ind w:left="61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照明地埋线</w:t>
            </w:r>
          </w:p>
        </w:tc>
        <w:tc>
          <w:tcPr>
            <w:tcW w:w="544" w:type="pct"/>
            <w:noWrap w:val="0"/>
            <w:vAlign w:val="top"/>
          </w:tcPr>
          <w:p w14:paraId="6BB002F5">
            <w:pPr>
              <w:pStyle w:val="9"/>
              <w:keepNext w:val="0"/>
              <w:keepLines w:val="0"/>
              <w:pageBreakBefore w:val="0"/>
              <w:wordWrap/>
              <w:overflowPunct/>
              <w:topLinePunct w:val="0"/>
              <w:bidi w:val="0"/>
              <w:spacing w:before="126"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6A02C15A">
            <w:pPr>
              <w:pStyle w:val="9"/>
              <w:keepNext w:val="0"/>
              <w:keepLines w:val="0"/>
              <w:pageBreakBefore w:val="0"/>
              <w:wordWrap/>
              <w:overflowPunct/>
              <w:topLinePunct w:val="0"/>
              <w:bidi w:val="0"/>
              <w:spacing w:before="196" w:line="560" w:lineRule="exact"/>
              <w:ind w:left="98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8"/>
                <w:sz w:val="28"/>
                <w:szCs w:val="28"/>
                <w:highlight w:val="none"/>
              </w:rPr>
              <w:t>11</w:t>
            </w:r>
          </w:p>
        </w:tc>
        <w:tc>
          <w:tcPr>
            <w:tcW w:w="1233" w:type="pct"/>
            <w:noWrap w:val="0"/>
            <w:vAlign w:val="top"/>
          </w:tcPr>
          <w:p w14:paraId="67BA238B">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2F1A1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40C64789">
            <w:pPr>
              <w:pStyle w:val="9"/>
              <w:keepNext w:val="0"/>
              <w:keepLines w:val="0"/>
              <w:pageBreakBefore w:val="0"/>
              <w:wordWrap/>
              <w:overflowPunct/>
              <w:topLinePunct w:val="0"/>
              <w:bidi w:val="0"/>
              <w:spacing w:before="217"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ascii="Times New Roman" w:hAnsi="Times New Roman"/>
                <w:color w:val="000000"/>
                <w:spacing w:val="-4"/>
                <w:sz w:val="28"/>
                <w:szCs w:val="28"/>
                <w:highlight w:val="none"/>
              </w:rPr>
              <w:t>2</w:t>
            </w:r>
            <w:r>
              <w:rPr>
                <w:rFonts w:hint="eastAsia" w:ascii="Times New Roman" w:hAnsi="Times New Roman"/>
                <w:color w:val="000000"/>
                <w:spacing w:val="-4"/>
                <w:sz w:val="28"/>
                <w:szCs w:val="28"/>
                <w:highlight w:val="none"/>
                <w:lang w:val="en-US" w:eastAsia="zh-CN"/>
              </w:rPr>
              <w:t>2</w:t>
            </w:r>
          </w:p>
        </w:tc>
        <w:tc>
          <w:tcPr>
            <w:tcW w:w="1497" w:type="pct"/>
            <w:noWrap w:val="0"/>
            <w:vAlign w:val="top"/>
          </w:tcPr>
          <w:p w14:paraId="2142FCF5">
            <w:pPr>
              <w:pStyle w:val="9"/>
              <w:keepNext w:val="0"/>
              <w:keepLines w:val="0"/>
              <w:pageBreakBefore w:val="0"/>
              <w:wordWrap/>
              <w:overflowPunct/>
              <w:topLinePunct w:val="0"/>
              <w:bidi w:val="0"/>
              <w:spacing w:before="147" w:line="560" w:lineRule="exact"/>
              <w:ind w:left="89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变压器</w:t>
            </w:r>
          </w:p>
        </w:tc>
        <w:tc>
          <w:tcPr>
            <w:tcW w:w="544" w:type="pct"/>
            <w:noWrap w:val="0"/>
            <w:vAlign w:val="top"/>
          </w:tcPr>
          <w:p w14:paraId="394EA4CA">
            <w:pPr>
              <w:pStyle w:val="9"/>
              <w:keepNext w:val="0"/>
              <w:keepLines w:val="0"/>
              <w:pageBreakBefore w:val="0"/>
              <w:wordWrap/>
              <w:overflowPunct/>
              <w:topLinePunct w:val="0"/>
              <w:bidi w:val="0"/>
              <w:spacing w:before="146" w:line="560" w:lineRule="exact"/>
              <w:ind w:left="123"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10"/>
                <w:sz w:val="28"/>
                <w:szCs w:val="28"/>
                <w:highlight w:val="none"/>
              </w:rPr>
              <w:t>元/台</w:t>
            </w:r>
          </w:p>
        </w:tc>
        <w:tc>
          <w:tcPr>
            <w:tcW w:w="1287" w:type="pct"/>
            <w:noWrap w:val="0"/>
            <w:vAlign w:val="top"/>
          </w:tcPr>
          <w:p w14:paraId="4BD93478">
            <w:pPr>
              <w:pStyle w:val="9"/>
              <w:keepNext w:val="0"/>
              <w:keepLines w:val="0"/>
              <w:pageBreakBefore w:val="0"/>
              <w:wordWrap/>
              <w:overflowPunct/>
              <w:topLinePunct w:val="0"/>
              <w:bidi w:val="0"/>
              <w:spacing w:before="145" w:line="560" w:lineRule="exact"/>
              <w:ind w:left="14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1"/>
                <w:sz w:val="28"/>
                <w:szCs w:val="28"/>
                <w:highlight w:val="none"/>
              </w:rPr>
              <w:t>按型号乘以1000</w:t>
            </w:r>
          </w:p>
        </w:tc>
        <w:tc>
          <w:tcPr>
            <w:tcW w:w="1233" w:type="pct"/>
            <w:noWrap w:val="0"/>
            <w:vAlign w:val="top"/>
          </w:tcPr>
          <w:p w14:paraId="3938AE14">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61831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2251AEA1">
            <w:pPr>
              <w:pStyle w:val="9"/>
              <w:keepNext w:val="0"/>
              <w:keepLines w:val="0"/>
              <w:pageBreakBefore w:val="0"/>
              <w:wordWrap/>
              <w:overflowPunct/>
              <w:topLinePunct w:val="0"/>
              <w:bidi w:val="0"/>
              <w:spacing w:before="268"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ascii="Times New Roman" w:hAnsi="Times New Roman"/>
                <w:color w:val="000000"/>
                <w:spacing w:val="-4"/>
                <w:sz w:val="28"/>
                <w:szCs w:val="28"/>
                <w:highlight w:val="none"/>
              </w:rPr>
              <w:t>2</w:t>
            </w:r>
            <w:r>
              <w:rPr>
                <w:rFonts w:hint="eastAsia" w:ascii="Times New Roman" w:hAnsi="Times New Roman"/>
                <w:color w:val="000000"/>
                <w:spacing w:val="-4"/>
                <w:sz w:val="28"/>
                <w:szCs w:val="28"/>
                <w:highlight w:val="none"/>
                <w:lang w:val="en-US" w:eastAsia="zh-CN"/>
              </w:rPr>
              <w:t>3</w:t>
            </w:r>
          </w:p>
        </w:tc>
        <w:tc>
          <w:tcPr>
            <w:tcW w:w="1497" w:type="pct"/>
            <w:noWrap w:val="0"/>
            <w:vAlign w:val="top"/>
          </w:tcPr>
          <w:p w14:paraId="7EDC9F69">
            <w:pPr>
              <w:pStyle w:val="9"/>
              <w:keepNext w:val="0"/>
              <w:keepLines w:val="0"/>
              <w:pageBreakBefore w:val="0"/>
              <w:wordWrap/>
              <w:overflowPunct/>
              <w:topLinePunct w:val="0"/>
              <w:bidi w:val="0"/>
              <w:spacing w:before="126" w:line="560" w:lineRule="exact"/>
              <w:ind w:left="47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8"/>
                <w:sz w:val="28"/>
                <w:szCs w:val="28"/>
                <w:highlight w:val="none"/>
              </w:rPr>
              <w:t>地埋管(硬管)</w:t>
            </w:r>
          </w:p>
        </w:tc>
        <w:tc>
          <w:tcPr>
            <w:tcW w:w="544" w:type="pct"/>
            <w:noWrap w:val="0"/>
            <w:vAlign w:val="top"/>
          </w:tcPr>
          <w:p w14:paraId="2EFA0A00">
            <w:pPr>
              <w:pStyle w:val="9"/>
              <w:keepNext w:val="0"/>
              <w:keepLines w:val="0"/>
              <w:pageBreakBefore w:val="0"/>
              <w:wordWrap/>
              <w:overflowPunct/>
              <w:topLinePunct w:val="0"/>
              <w:bidi w:val="0"/>
              <w:spacing w:before="197"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671C7882">
            <w:pPr>
              <w:pStyle w:val="9"/>
              <w:keepNext w:val="0"/>
              <w:keepLines w:val="0"/>
              <w:pageBreakBefore w:val="0"/>
              <w:wordWrap/>
              <w:overflowPunct/>
              <w:topLinePunct w:val="0"/>
              <w:bidi w:val="0"/>
              <w:spacing w:before="267" w:line="560" w:lineRule="exact"/>
              <w:ind w:left="98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8"/>
                <w:sz w:val="28"/>
                <w:szCs w:val="28"/>
                <w:highlight w:val="none"/>
              </w:rPr>
              <w:t>11</w:t>
            </w:r>
          </w:p>
        </w:tc>
        <w:tc>
          <w:tcPr>
            <w:tcW w:w="1233" w:type="pct"/>
            <w:noWrap w:val="0"/>
            <w:vAlign w:val="top"/>
          </w:tcPr>
          <w:p w14:paraId="0319DECF">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2E082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55A860CA">
            <w:pPr>
              <w:pStyle w:val="9"/>
              <w:keepNext w:val="0"/>
              <w:keepLines w:val="0"/>
              <w:pageBreakBefore w:val="0"/>
              <w:wordWrap/>
              <w:overflowPunct/>
              <w:topLinePunct w:val="0"/>
              <w:bidi w:val="0"/>
              <w:spacing w:before="218"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ascii="Times New Roman" w:hAnsi="Times New Roman"/>
                <w:color w:val="000000"/>
                <w:spacing w:val="-4"/>
                <w:sz w:val="28"/>
                <w:szCs w:val="28"/>
                <w:highlight w:val="none"/>
              </w:rPr>
              <w:t>2</w:t>
            </w:r>
            <w:r>
              <w:rPr>
                <w:rFonts w:hint="eastAsia" w:ascii="Times New Roman" w:hAnsi="Times New Roman"/>
                <w:color w:val="000000"/>
                <w:spacing w:val="-4"/>
                <w:sz w:val="28"/>
                <w:szCs w:val="28"/>
                <w:highlight w:val="none"/>
                <w:lang w:val="en-US" w:eastAsia="zh-CN"/>
              </w:rPr>
              <w:t>4</w:t>
            </w:r>
          </w:p>
        </w:tc>
        <w:tc>
          <w:tcPr>
            <w:tcW w:w="1497" w:type="pct"/>
            <w:noWrap w:val="0"/>
            <w:vAlign w:val="top"/>
          </w:tcPr>
          <w:p w14:paraId="7D098B96">
            <w:pPr>
              <w:pStyle w:val="9"/>
              <w:keepNext w:val="0"/>
              <w:keepLines w:val="0"/>
              <w:pageBreakBefore w:val="0"/>
              <w:wordWrap/>
              <w:overflowPunct/>
              <w:topLinePunct w:val="0"/>
              <w:bidi w:val="0"/>
              <w:spacing w:before="146" w:line="560" w:lineRule="exact"/>
              <w:ind w:left="47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8"/>
                <w:sz w:val="28"/>
                <w:szCs w:val="28"/>
                <w:highlight w:val="none"/>
              </w:rPr>
              <w:t>地埋管(软管)</w:t>
            </w:r>
          </w:p>
        </w:tc>
        <w:tc>
          <w:tcPr>
            <w:tcW w:w="544" w:type="pct"/>
            <w:noWrap w:val="0"/>
            <w:vAlign w:val="top"/>
          </w:tcPr>
          <w:p w14:paraId="4E15509F">
            <w:pPr>
              <w:pStyle w:val="9"/>
              <w:keepNext w:val="0"/>
              <w:keepLines w:val="0"/>
              <w:pageBreakBefore w:val="0"/>
              <w:wordWrap/>
              <w:overflowPunct/>
              <w:topLinePunct w:val="0"/>
              <w:bidi w:val="0"/>
              <w:spacing w:before="147"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6D2F07CA">
            <w:pPr>
              <w:pStyle w:val="9"/>
              <w:keepNext w:val="0"/>
              <w:keepLines w:val="0"/>
              <w:pageBreakBefore w:val="0"/>
              <w:wordWrap/>
              <w:overflowPunct/>
              <w:topLinePunct w:val="0"/>
              <w:bidi w:val="0"/>
              <w:spacing w:before="218" w:line="560" w:lineRule="exact"/>
              <w:ind w:left="105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z w:val="28"/>
                <w:szCs w:val="28"/>
                <w:highlight w:val="none"/>
              </w:rPr>
              <w:t>8</w:t>
            </w:r>
          </w:p>
        </w:tc>
        <w:tc>
          <w:tcPr>
            <w:tcW w:w="1233" w:type="pct"/>
            <w:noWrap w:val="0"/>
            <w:vAlign w:val="top"/>
          </w:tcPr>
          <w:p w14:paraId="67CCDBAA">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4BE9B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4FD48D09">
            <w:pPr>
              <w:pStyle w:val="9"/>
              <w:keepNext w:val="0"/>
              <w:keepLines w:val="0"/>
              <w:pageBreakBefore w:val="0"/>
              <w:wordWrap/>
              <w:overflowPunct/>
              <w:topLinePunct w:val="0"/>
              <w:bidi w:val="0"/>
              <w:spacing w:before="208"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5"/>
                <w:sz w:val="28"/>
                <w:szCs w:val="28"/>
                <w:highlight w:val="none"/>
                <w:lang w:val="en-US" w:eastAsia="zh-CN"/>
              </w:rPr>
              <w:t>25</w:t>
            </w:r>
          </w:p>
        </w:tc>
        <w:tc>
          <w:tcPr>
            <w:tcW w:w="1497" w:type="pct"/>
            <w:noWrap w:val="0"/>
            <w:vAlign w:val="top"/>
          </w:tcPr>
          <w:p w14:paraId="7238DC23">
            <w:pPr>
              <w:pStyle w:val="9"/>
              <w:keepNext w:val="0"/>
              <w:keepLines w:val="0"/>
              <w:pageBreakBefore w:val="0"/>
              <w:wordWrap/>
              <w:overflowPunct/>
              <w:topLinePunct w:val="0"/>
              <w:bidi w:val="0"/>
              <w:spacing w:before="136" w:line="560" w:lineRule="exact"/>
              <w:ind w:left="75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滴灌主管</w:t>
            </w:r>
          </w:p>
        </w:tc>
        <w:tc>
          <w:tcPr>
            <w:tcW w:w="544" w:type="pct"/>
            <w:noWrap w:val="0"/>
            <w:vAlign w:val="top"/>
          </w:tcPr>
          <w:p w14:paraId="32688523">
            <w:pPr>
              <w:pStyle w:val="9"/>
              <w:keepNext w:val="0"/>
              <w:keepLines w:val="0"/>
              <w:pageBreakBefore w:val="0"/>
              <w:wordWrap/>
              <w:overflowPunct/>
              <w:topLinePunct w:val="0"/>
              <w:bidi w:val="0"/>
              <w:spacing w:before="137"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2C84FFD2">
            <w:pPr>
              <w:pStyle w:val="9"/>
              <w:keepNext w:val="0"/>
              <w:keepLines w:val="0"/>
              <w:pageBreakBefore w:val="0"/>
              <w:wordWrap/>
              <w:overflowPunct/>
              <w:topLinePunct w:val="0"/>
              <w:bidi w:val="0"/>
              <w:spacing w:before="207" w:line="560" w:lineRule="exact"/>
              <w:ind w:left="98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8"/>
                <w:sz w:val="28"/>
                <w:szCs w:val="28"/>
                <w:highlight w:val="none"/>
              </w:rPr>
              <w:t>11</w:t>
            </w:r>
          </w:p>
        </w:tc>
        <w:tc>
          <w:tcPr>
            <w:tcW w:w="1233" w:type="pct"/>
            <w:noWrap w:val="0"/>
            <w:vAlign w:val="top"/>
          </w:tcPr>
          <w:p w14:paraId="28FA0F0E">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34CD3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top"/>
          </w:tcPr>
          <w:p w14:paraId="5D61855D">
            <w:pPr>
              <w:pStyle w:val="9"/>
              <w:keepNext w:val="0"/>
              <w:keepLines w:val="0"/>
              <w:pageBreakBefore w:val="0"/>
              <w:wordWrap/>
              <w:overflowPunct/>
              <w:topLinePunct w:val="0"/>
              <w:bidi w:val="0"/>
              <w:spacing w:before="208" w:line="560" w:lineRule="exact"/>
              <w:ind w:left="234" w:leftChars="0"/>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5"/>
                <w:sz w:val="28"/>
                <w:szCs w:val="28"/>
                <w:highlight w:val="none"/>
                <w:lang w:val="en-US" w:eastAsia="zh-CN"/>
              </w:rPr>
              <w:t>26</w:t>
            </w:r>
          </w:p>
        </w:tc>
        <w:tc>
          <w:tcPr>
            <w:tcW w:w="1497" w:type="pct"/>
            <w:noWrap w:val="0"/>
            <w:vAlign w:val="top"/>
          </w:tcPr>
          <w:p w14:paraId="39E42B32">
            <w:pPr>
              <w:pStyle w:val="9"/>
              <w:keepNext w:val="0"/>
              <w:keepLines w:val="0"/>
              <w:pageBreakBefore w:val="0"/>
              <w:wordWrap/>
              <w:overflowPunct/>
              <w:topLinePunct w:val="0"/>
              <w:bidi w:val="0"/>
              <w:spacing w:before="137" w:line="560" w:lineRule="exact"/>
              <w:ind w:left="75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滴灌支管</w:t>
            </w:r>
          </w:p>
        </w:tc>
        <w:tc>
          <w:tcPr>
            <w:tcW w:w="544" w:type="pct"/>
            <w:noWrap w:val="0"/>
            <w:vAlign w:val="top"/>
          </w:tcPr>
          <w:p w14:paraId="5F6B0EC7">
            <w:pPr>
              <w:pStyle w:val="9"/>
              <w:keepNext w:val="0"/>
              <w:keepLines w:val="0"/>
              <w:pageBreakBefore w:val="0"/>
              <w:wordWrap/>
              <w:overflowPunct/>
              <w:topLinePunct w:val="0"/>
              <w:bidi w:val="0"/>
              <w:spacing w:before="138" w:line="560" w:lineRule="exact"/>
              <w:ind w:left="19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1DEAE785">
            <w:pPr>
              <w:pStyle w:val="9"/>
              <w:keepNext w:val="0"/>
              <w:keepLines w:val="0"/>
              <w:pageBreakBefore w:val="0"/>
              <w:wordWrap/>
              <w:overflowPunct/>
              <w:topLinePunct w:val="0"/>
              <w:bidi w:val="0"/>
              <w:spacing w:before="209" w:line="560" w:lineRule="exact"/>
              <w:ind w:left="105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z w:val="28"/>
                <w:szCs w:val="28"/>
                <w:highlight w:val="none"/>
              </w:rPr>
              <w:t>3</w:t>
            </w:r>
          </w:p>
        </w:tc>
        <w:tc>
          <w:tcPr>
            <w:tcW w:w="1233" w:type="pct"/>
            <w:noWrap w:val="0"/>
            <w:vAlign w:val="top"/>
          </w:tcPr>
          <w:p w14:paraId="59D47C22">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72AB5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center"/>
          </w:tcPr>
          <w:p w14:paraId="66807AA6">
            <w:pPr>
              <w:pStyle w:val="9"/>
              <w:keepNext w:val="0"/>
              <w:keepLines w:val="0"/>
              <w:pageBreakBefore w:val="0"/>
              <w:wordWrap/>
              <w:overflowPunct/>
              <w:topLinePunct w:val="0"/>
              <w:bidi w:val="0"/>
              <w:spacing w:before="289" w:line="560" w:lineRule="exact"/>
              <w:ind w:left="234" w:leftChars="0"/>
              <w:jc w:val="both"/>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5"/>
                <w:sz w:val="28"/>
                <w:szCs w:val="28"/>
                <w:highlight w:val="none"/>
                <w:lang w:val="en-US" w:eastAsia="zh-CN"/>
              </w:rPr>
              <w:t>27</w:t>
            </w:r>
          </w:p>
        </w:tc>
        <w:tc>
          <w:tcPr>
            <w:tcW w:w="1497" w:type="pct"/>
            <w:noWrap w:val="0"/>
            <w:vAlign w:val="top"/>
          </w:tcPr>
          <w:p w14:paraId="592047F1">
            <w:pPr>
              <w:pStyle w:val="9"/>
              <w:keepNext w:val="0"/>
              <w:keepLines w:val="0"/>
              <w:pageBreakBefore w:val="0"/>
              <w:wordWrap/>
              <w:overflowPunct/>
              <w:topLinePunct w:val="0"/>
              <w:bidi w:val="0"/>
              <w:spacing w:before="147" w:line="560" w:lineRule="exact"/>
              <w:ind w:left="75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渗灌主管</w:t>
            </w:r>
          </w:p>
        </w:tc>
        <w:tc>
          <w:tcPr>
            <w:tcW w:w="544" w:type="pct"/>
            <w:noWrap w:val="0"/>
            <w:vAlign w:val="center"/>
          </w:tcPr>
          <w:p w14:paraId="6F1662AF">
            <w:pPr>
              <w:pStyle w:val="9"/>
              <w:keepNext w:val="0"/>
              <w:keepLines w:val="0"/>
              <w:pageBreakBefore w:val="0"/>
              <w:wordWrap/>
              <w:overflowPunct/>
              <w:topLinePunct w:val="0"/>
              <w:bidi w:val="0"/>
              <w:spacing w:before="218" w:line="560" w:lineRule="exact"/>
              <w:jc w:val="center"/>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010361EB">
            <w:pPr>
              <w:pStyle w:val="9"/>
              <w:keepNext w:val="0"/>
              <w:keepLines w:val="0"/>
              <w:pageBreakBefore w:val="0"/>
              <w:wordWrap/>
              <w:overflowPunct/>
              <w:topLinePunct w:val="0"/>
              <w:bidi w:val="0"/>
              <w:spacing w:before="289" w:line="560" w:lineRule="exact"/>
              <w:ind w:left="105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z w:val="28"/>
                <w:szCs w:val="28"/>
                <w:highlight w:val="none"/>
              </w:rPr>
              <w:t>8</w:t>
            </w:r>
          </w:p>
        </w:tc>
        <w:tc>
          <w:tcPr>
            <w:tcW w:w="1233" w:type="pct"/>
            <w:noWrap w:val="0"/>
            <w:vAlign w:val="top"/>
          </w:tcPr>
          <w:p w14:paraId="719F926C">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70CEB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center"/>
          </w:tcPr>
          <w:p w14:paraId="537E4E41">
            <w:pPr>
              <w:pStyle w:val="9"/>
              <w:keepNext w:val="0"/>
              <w:keepLines w:val="0"/>
              <w:pageBreakBefore w:val="0"/>
              <w:wordWrap/>
              <w:overflowPunct/>
              <w:topLinePunct w:val="0"/>
              <w:bidi w:val="0"/>
              <w:spacing w:before="219" w:line="560" w:lineRule="exact"/>
              <w:ind w:left="234" w:leftChars="0"/>
              <w:jc w:val="both"/>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5"/>
                <w:sz w:val="28"/>
                <w:szCs w:val="28"/>
                <w:highlight w:val="none"/>
                <w:lang w:val="en-US" w:eastAsia="zh-CN"/>
              </w:rPr>
              <w:t>28</w:t>
            </w:r>
          </w:p>
        </w:tc>
        <w:tc>
          <w:tcPr>
            <w:tcW w:w="1497" w:type="pct"/>
            <w:noWrap w:val="0"/>
            <w:vAlign w:val="top"/>
          </w:tcPr>
          <w:p w14:paraId="32FD5008">
            <w:pPr>
              <w:pStyle w:val="9"/>
              <w:keepNext w:val="0"/>
              <w:keepLines w:val="0"/>
              <w:pageBreakBefore w:val="0"/>
              <w:wordWrap/>
              <w:overflowPunct/>
              <w:topLinePunct w:val="0"/>
              <w:bidi w:val="0"/>
              <w:spacing w:before="147" w:line="560" w:lineRule="exact"/>
              <w:ind w:left="75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渗灌支管</w:t>
            </w:r>
          </w:p>
        </w:tc>
        <w:tc>
          <w:tcPr>
            <w:tcW w:w="544" w:type="pct"/>
            <w:noWrap w:val="0"/>
            <w:vAlign w:val="center"/>
          </w:tcPr>
          <w:p w14:paraId="70EBA6BB">
            <w:pPr>
              <w:pStyle w:val="9"/>
              <w:keepNext w:val="0"/>
              <w:keepLines w:val="0"/>
              <w:pageBreakBefore w:val="0"/>
              <w:wordWrap/>
              <w:overflowPunct/>
              <w:topLinePunct w:val="0"/>
              <w:bidi w:val="0"/>
              <w:spacing w:before="148" w:line="560" w:lineRule="exact"/>
              <w:jc w:val="center"/>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元/m</w:t>
            </w:r>
          </w:p>
        </w:tc>
        <w:tc>
          <w:tcPr>
            <w:tcW w:w="1287" w:type="pct"/>
            <w:noWrap w:val="0"/>
            <w:vAlign w:val="top"/>
          </w:tcPr>
          <w:p w14:paraId="438E37E3">
            <w:pPr>
              <w:pStyle w:val="9"/>
              <w:keepNext w:val="0"/>
              <w:keepLines w:val="0"/>
              <w:pageBreakBefore w:val="0"/>
              <w:wordWrap/>
              <w:overflowPunct/>
              <w:topLinePunct w:val="0"/>
              <w:bidi w:val="0"/>
              <w:spacing w:before="218" w:line="560" w:lineRule="exact"/>
              <w:ind w:left="105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z w:val="28"/>
                <w:szCs w:val="28"/>
                <w:highlight w:val="none"/>
              </w:rPr>
              <w:t>1</w:t>
            </w:r>
          </w:p>
        </w:tc>
        <w:tc>
          <w:tcPr>
            <w:tcW w:w="1233" w:type="pct"/>
            <w:noWrap w:val="0"/>
            <w:vAlign w:val="top"/>
          </w:tcPr>
          <w:p w14:paraId="3BBE1FF4">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60FAA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center"/>
          </w:tcPr>
          <w:p w14:paraId="0AF6033F">
            <w:pPr>
              <w:pStyle w:val="9"/>
              <w:keepNext w:val="0"/>
              <w:keepLines w:val="0"/>
              <w:pageBreakBefore w:val="0"/>
              <w:wordWrap/>
              <w:overflowPunct/>
              <w:topLinePunct w:val="0"/>
              <w:bidi w:val="0"/>
              <w:spacing w:before="210" w:line="560" w:lineRule="exact"/>
              <w:ind w:left="234" w:leftChars="0"/>
              <w:jc w:val="both"/>
              <w:rPr>
                <w:rFonts w:hint="eastAsia" w:ascii="Times New Roman" w:hAnsi="Times New Roman" w:eastAsia="宋体" w:cs="宋体"/>
                <w:color w:val="000000"/>
                <w:kern w:val="2"/>
                <w:sz w:val="28"/>
                <w:szCs w:val="28"/>
                <w:highlight w:val="none"/>
                <w:lang w:val="en-US" w:eastAsia="zh-CN" w:bidi="ar-SA"/>
              </w:rPr>
            </w:pPr>
            <w:r>
              <w:rPr>
                <w:rFonts w:hint="eastAsia" w:ascii="Times New Roman" w:hAnsi="Times New Roman"/>
                <w:color w:val="000000"/>
                <w:spacing w:val="-5"/>
                <w:sz w:val="28"/>
                <w:szCs w:val="28"/>
                <w:highlight w:val="none"/>
                <w:lang w:val="en-US" w:eastAsia="zh-CN"/>
              </w:rPr>
              <w:t>29</w:t>
            </w:r>
          </w:p>
        </w:tc>
        <w:tc>
          <w:tcPr>
            <w:tcW w:w="1497" w:type="pct"/>
            <w:noWrap w:val="0"/>
            <w:vAlign w:val="top"/>
          </w:tcPr>
          <w:p w14:paraId="204C1199">
            <w:pPr>
              <w:pStyle w:val="9"/>
              <w:keepNext w:val="0"/>
              <w:keepLines w:val="0"/>
              <w:pageBreakBefore w:val="0"/>
              <w:wordWrap/>
              <w:overflowPunct/>
              <w:topLinePunct w:val="0"/>
              <w:bidi w:val="0"/>
              <w:spacing w:before="139" w:line="560" w:lineRule="exact"/>
              <w:ind w:left="61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16"/>
                <w:sz w:val="28"/>
                <w:szCs w:val="28"/>
                <w:highlight w:val="none"/>
              </w:rPr>
              <w:t>鸡</w:t>
            </w:r>
            <w:r>
              <w:rPr>
                <w:rFonts w:hint="eastAsia" w:ascii="Times New Roman" w:hAnsi="Times New Roman"/>
                <w:color w:val="000000"/>
                <w:spacing w:val="-16"/>
                <w:sz w:val="28"/>
                <w:szCs w:val="28"/>
                <w:highlight w:val="none"/>
                <w:lang w:eastAsia="zh-CN"/>
              </w:rPr>
              <w:t>（狗）</w:t>
            </w:r>
            <w:r>
              <w:rPr>
                <w:rFonts w:ascii="Times New Roman" w:hAnsi="Times New Roman"/>
                <w:color w:val="000000"/>
                <w:spacing w:val="-16"/>
                <w:sz w:val="28"/>
                <w:szCs w:val="28"/>
                <w:highlight w:val="none"/>
              </w:rPr>
              <w:t>窝</w:t>
            </w:r>
          </w:p>
        </w:tc>
        <w:tc>
          <w:tcPr>
            <w:tcW w:w="544" w:type="pct"/>
            <w:noWrap w:val="0"/>
            <w:vAlign w:val="center"/>
          </w:tcPr>
          <w:p w14:paraId="3497C977">
            <w:pPr>
              <w:pStyle w:val="9"/>
              <w:keepNext w:val="0"/>
              <w:keepLines w:val="0"/>
              <w:pageBreakBefore w:val="0"/>
              <w:wordWrap/>
              <w:overflowPunct/>
              <w:topLinePunct w:val="0"/>
              <w:bidi w:val="0"/>
              <w:spacing w:before="138" w:line="560" w:lineRule="exact"/>
              <w:jc w:val="center"/>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元/个</w:t>
            </w:r>
          </w:p>
        </w:tc>
        <w:tc>
          <w:tcPr>
            <w:tcW w:w="1287" w:type="pct"/>
            <w:noWrap w:val="0"/>
            <w:vAlign w:val="top"/>
          </w:tcPr>
          <w:p w14:paraId="235800AE">
            <w:pPr>
              <w:pStyle w:val="9"/>
              <w:keepNext w:val="0"/>
              <w:keepLines w:val="0"/>
              <w:pageBreakBefore w:val="0"/>
              <w:wordWrap/>
              <w:overflowPunct/>
              <w:topLinePunct w:val="0"/>
              <w:bidi w:val="0"/>
              <w:spacing w:before="209" w:line="560" w:lineRule="exact"/>
              <w:ind w:left="914"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8"/>
                <w:sz w:val="28"/>
                <w:szCs w:val="28"/>
                <w:highlight w:val="none"/>
              </w:rPr>
              <w:t>150</w:t>
            </w:r>
          </w:p>
        </w:tc>
        <w:tc>
          <w:tcPr>
            <w:tcW w:w="1233" w:type="pct"/>
            <w:noWrap w:val="0"/>
            <w:vAlign w:val="top"/>
          </w:tcPr>
          <w:p w14:paraId="14C4FB1E">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10EF9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center"/>
          </w:tcPr>
          <w:p w14:paraId="12C7780A">
            <w:pPr>
              <w:pStyle w:val="9"/>
              <w:keepNext w:val="0"/>
              <w:keepLines w:val="0"/>
              <w:pageBreakBefore w:val="0"/>
              <w:wordWrap/>
              <w:overflowPunct/>
              <w:topLinePunct w:val="0"/>
              <w:bidi w:val="0"/>
              <w:spacing w:before="210" w:line="560" w:lineRule="exact"/>
              <w:ind w:left="234" w:leftChars="0"/>
              <w:jc w:val="both"/>
              <w:rPr>
                <w:rFonts w:hint="eastAsia" w:ascii="Times New Roman" w:hAnsi="Times New Roman" w:eastAsia="宋体" w:cs="宋体"/>
                <w:color w:val="000000"/>
                <w:kern w:val="2"/>
                <w:sz w:val="28"/>
                <w:szCs w:val="28"/>
                <w:highlight w:val="none"/>
                <w:lang w:val="en-US" w:eastAsia="zh-CN" w:bidi="ar-SA"/>
              </w:rPr>
            </w:pPr>
            <w:r>
              <w:rPr>
                <w:rFonts w:ascii="Times New Roman" w:hAnsi="Times New Roman"/>
                <w:color w:val="000000"/>
                <w:spacing w:val="-5"/>
                <w:sz w:val="28"/>
                <w:szCs w:val="28"/>
                <w:highlight w:val="none"/>
              </w:rPr>
              <w:t>3</w:t>
            </w:r>
            <w:r>
              <w:rPr>
                <w:rFonts w:hint="eastAsia" w:ascii="Times New Roman" w:hAnsi="Times New Roman"/>
                <w:color w:val="000000"/>
                <w:spacing w:val="-5"/>
                <w:sz w:val="28"/>
                <w:szCs w:val="28"/>
                <w:highlight w:val="none"/>
                <w:lang w:val="en-US" w:eastAsia="zh-CN"/>
              </w:rPr>
              <w:t>0</w:t>
            </w:r>
          </w:p>
        </w:tc>
        <w:tc>
          <w:tcPr>
            <w:tcW w:w="1497" w:type="pct"/>
            <w:noWrap w:val="0"/>
            <w:vAlign w:val="top"/>
          </w:tcPr>
          <w:p w14:paraId="167E80A4">
            <w:pPr>
              <w:pStyle w:val="9"/>
              <w:keepNext w:val="0"/>
              <w:keepLines w:val="0"/>
              <w:pageBreakBefore w:val="0"/>
              <w:wordWrap/>
              <w:overflowPunct/>
              <w:topLinePunct w:val="0"/>
              <w:bidi w:val="0"/>
              <w:spacing w:before="139" w:line="560" w:lineRule="exact"/>
              <w:ind w:left="89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9"/>
                <w:sz w:val="28"/>
                <w:szCs w:val="28"/>
                <w:highlight w:val="none"/>
              </w:rPr>
              <w:t>砖猪圈</w:t>
            </w:r>
          </w:p>
        </w:tc>
        <w:tc>
          <w:tcPr>
            <w:tcW w:w="544" w:type="pct"/>
            <w:noWrap w:val="0"/>
            <w:vAlign w:val="center"/>
          </w:tcPr>
          <w:p w14:paraId="398BA64A">
            <w:pPr>
              <w:pStyle w:val="9"/>
              <w:keepNext w:val="0"/>
              <w:keepLines w:val="0"/>
              <w:pageBreakBefore w:val="0"/>
              <w:wordWrap/>
              <w:overflowPunct/>
              <w:topLinePunct w:val="0"/>
              <w:bidi w:val="0"/>
              <w:spacing w:before="138" w:line="560" w:lineRule="exact"/>
              <w:jc w:val="center"/>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元/个</w:t>
            </w:r>
          </w:p>
        </w:tc>
        <w:tc>
          <w:tcPr>
            <w:tcW w:w="1287" w:type="pct"/>
            <w:noWrap w:val="0"/>
            <w:vAlign w:val="top"/>
          </w:tcPr>
          <w:p w14:paraId="2F88DC3B">
            <w:pPr>
              <w:pStyle w:val="9"/>
              <w:keepNext w:val="0"/>
              <w:keepLines w:val="0"/>
              <w:pageBreakBefore w:val="0"/>
              <w:wordWrap/>
              <w:overflowPunct/>
              <w:topLinePunct w:val="0"/>
              <w:bidi w:val="0"/>
              <w:spacing w:before="210" w:line="560" w:lineRule="exact"/>
              <w:ind w:left="915"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3"/>
                <w:sz w:val="28"/>
                <w:szCs w:val="28"/>
                <w:highlight w:val="none"/>
              </w:rPr>
              <w:t>900</w:t>
            </w:r>
          </w:p>
        </w:tc>
        <w:tc>
          <w:tcPr>
            <w:tcW w:w="1233" w:type="pct"/>
            <w:noWrap w:val="0"/>
            <w:vAlign w:val="top"/>
          </w:tcPr>
          <w:p w14:paraId="4923C6F1">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r w14:paraId="4388B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437" w:type="pct"/>
            <w:noWrap w:val="0"/>
            <w:vAlign w:val="center"/>
          </w:tcPr>
          <w:p w14:paraId="05502BF7">
            <w:pPr>
              <w:pStyle w:val="9"/>
              <w:keepNext w:val="0"/>
              <w:keepLines w:val="0"/>
              <w:pageBreakBefore w:val="0"/>
              <w:wordWrap/>
              <w:overflowPunct/>
              <w:topLinePunct w:val="0"/>
              <w:bidi w:val="0"/>
              <w:spacing w:before="211" w:line="560" w:lineRule="exact"/>
              <w:ind w:left="234" w:leftChars="0"/>
              <w:jc w:val="both"/>
              <w:rPr>
                <w:rFonts w:hint="eastAsia" w:ascii="Times New Roman" w:hAnsi="Times New Roman" w:eastAsia="宋体" w:cs="宋体"/>
                <w:color w:val="000000"/>
                <w:kern w:val="2"/>
                <w:sz w:val="28"/>
                <w:szCs w:val="28"/>
                <w:highlight w:val="none"/>
                <w:lang w:val="en-US" w:eastAsia="zh-CN" w:bidi="ar-SA"/>
              </w:rPr>
            </w:pPr>
            <w:r>
              <w:rPr>
                <w:rFonts w:ascii="Times New Roman" w:hAnsi="Times New Roman"/>
                <w:color w:val="000000"/>
                <w:spacing w:val="-5"/>
                <w:sz w:val="28"/>
                <w:szCs w:val="28"/>
                <w:highlight w:val="none"/>
              </w:rPr>
              <w:t>3</w:t>
            </w:r>
            <w:r>
              <w:rPr>
                <w:rFonts w:hint="eastAsia" w:ascii="Times New Roman" w:hAnsi="Times New Roman"/>
                <w:color w:val="000000"/>
                <w:spacing w:val="-5"/>
                <w:sz w:val="28"/>
                <w:szCs w:val="28"/>
                <w:highlight w:val="none"/>
                <w:lang w:val="en-US" w:eastAsia="zh-CN"/>
              </w:rPr>
              <w:t>1</w:t>
            </w:r>
          </w:p>
        </w:tc>
        <w:tc>
          <w:tcPr>
            <w:tcW w:w="1497" w:type="pct"/>
            <w:noWrap w:val="0"/>
            <w:vAlign w:val="top"/>
          </w:tcPr>
          <w:p w14:paraId="4E78EE1E">
            <w:pPr>
              <w:pStyle w:val="9"/>
              <w:keepNext w:val="0"/>
              <w:keepLines w:val="0"/>
              <w:pageBreakBefore w:val="0"/>
              <w:wordWrap/>
              <w:overflowPunct/>
              <w:topLinePunct w:val="0"/>
              <w:bidi w:val="0"/>
              <w:spacing w:before="140" w:line="560" w:lineRule="exact"/>
              <w:ind w:left="890" w:leftChars="0"/>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9"/>
                <w:sz w:val="28"/>
                <w:szCs w:val="28"/>
                <w:highlight w:val="none"/>
              </w:rPr>
              <w:t>土猪圈</w:t>
            </w:r>
          </w:p>
        </w:tc>
        <w:tc>
          <w:tcPr>
            <w:tcW w:w="544" w:type="pct"/>
            <w:noWrap w:val="0"/>
            <w:vAlign w:val="center"/>
          </w:tcPr>
          <w:p w14:paraId="2F70AC2E">
            <w:pPr>
              <w:pStyle w:val="9"/>
              <w:keepNext w:val="0"/>
              <w:keepLines w:val="0"/>
              <w:pageBreakBefore w:val="0"/>
              <w:wordWrap/>
              <w:overflowPunct/>
              <w:topLinePunct w:val="0"/>
              <w:bidi w:val="0"/>
              <w:spacing w:before="139" w:line="560" w:lineRule="exact"/>
              <w:jc w:val="center"/>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4"/>
                <w:sz w:val="28"/>
                <w:szCs w:val="28"/>
                <w:highlight w:val="none"/>
              </w:rPr>
              <w:t>元/个</w:t>
            </w:r>
          </w:p>
        </w:tc>
        <w:tc>
          <w:tcPr>
            <w:tcW w:w="1287" w:type="pct"/>
            <w:noWrap w:val="0"/>
            <w:vAlign w:val="center"/>
          </w:tcPr>
          <w:p w14:paraId="610A2FA9">
            <w:pPr>
              <w:pStyle w:val="9"/>
              <w:keepNext w:val="0"/>
              <w:keepLines w:val="0"/>
              <w:pageBreakBefore w:val="0"/>
              <w:wordWrap/>
              <w:overflowPunct/>
              <w:topLinePunct w:val="0"/>
              <w:bidi w:val="0"/>
              <w:spacing w:before="210" w:line="560" w:lineRule="exact"/>
              <w:jc w:val="center"/>
              <w:rPr>
                <w:rFonts w:ascii="Times New Roman" w:hAnsi="Times New Roman" w:eastAsia="宋体" w:cs="宋体"/>
                <w:color w:val="000000"/>
                <w:kern w:val="2"/>
                <w:sz w:val="28"/>
                <w:szCs w:val="28"/>
                <w:highlight w:val="none"/>
                <w:lang w:val="en-US" w:eastAsia="en-US" w:bidi="ar-SA"/>
              </w:rPr>
            </w:pPr>
            <w:r>
              <w:rPr>
                <w:rFonts w:ascii="Times New Roman" w:hAnsi="Times New Roman"/>
                <w:color w:val="000000"/>
                <w:spacing w:val="-5"/>
                <w:sz w:val="28"/>
                <w:szCs w:val="28"/>
                <w:highlight w:val="none"/>
              </w:rPr>
              <w:t>100-300</w:t>
            </w:r>
          </w:p>
        </w:tc>
        <w:tc>
          <w:tcPr>
            <w:tcW w:w="1233" w:type="pct"/>
            <w:noWrap w:val="0"/>
            <w:vAlign w:val="top"/>
          </w:tcPr>
          <w:p w14:paraId="636CE713">
            <w:pPr>
              <w:keepNext w:val="0"/>
              <w:keepLines w:val="0"/>
              <w:pageBreakBefore w:val="0"/>
              <w:wordWrap/>
              <w:overflowPunct/>
              <w:topLinePunct w:val="0"/>
              <w:bidi w:val="0"/>
              <w:spacing w:line="560" w:lineRule="exact"/>
              <w:rPr>
                <w:rFonts w:ascii="Times New Roman" w:hAnsi="Times New Roman" w:eastAsia="宋体" w:cs="Times New Roman"/>
                <w:color w:val="000000"/>
                <w:kern w:val="2"/>
                <w:sz w:val="21"/>
                <w:szCs w:val="24"/>
                <w:highlight w:val="none"/>
                <w:lang w:val="en-US" w:eastAsia="en-US" w:bidi="ar-SA"/>
              </w:rPr>
            </w:pPr>
          </w:p>
        </w:tc>
      </w:tr>
    </w:tbl>
    <w:p w14:paraId="53E83462">
      <w:pPr>
        <w:keepNext w:val="0"/>
        <w:keepLines w:val="0"/>
        <w:pageBreakBefore w:val="0"/>
        <w:wordWrap/>
        <w:overflowPunct/>
        <w:topLinePunct w:val="0"/>
        <w:bidi w:val="0"/>
        <w:spacing w:line="560" w:lineRule="exact"/>
        <w:rPr>
          <w:rFonts w:ascii="Times New Roman" w:hAnsi="Times New Roman"/>
          <w:color w:val="000000"/>
          <w:sz w:val="19"/>
          <w:szCs w:val="19"/>
          <w:highlight w:val="none"/>
        </w:rPr>
        <w:sectPr>
          <w:footerReference r:id="rId5" w:type="default"/>
          <w:pgSz w:w="11800" w:h="16820"/>
          <w:pgMar w:top="2098" w:right="1474" w:bottom="1984" w:left="1587" w:header="964" w:footer="1417" w:gutter="0"/>
          <w:pgNumType w:fmt="decimal"/>
          <w:cols w:space="720" w:num="1"/>
        </w:sectPr>
      </w:pPr>
    </w:p>
    <w:p w14:paraId="70B25ABF">
      <w:pPr>
        <w:keepNext w:val="0"/>
        <w:keepLines w:val="0"/>
        <w:pageBreakBefore w:val="0"/>
        <w:wordWrap/>
        <w:overflowPunct/>
        <w:topLinePunct w:val="0"/>
        <w:bidi w:val="0"/>
        <w:spacing w:before="90" w:line="560" w:lineRule="exact"/>
        <w:jc w:val="center"/>
        <w:rPr>
          <w:rFonts w:ascii="Times New Roman" w:hAnsi="Times New Roman" w:eastAsia="宋体" w:cs="宋体"/>
          <w:b/>
          <w:bCs/>
          <w:color w:val="000000"/>
          <w:spacing w:val="-15"/>
          <w:sz w:val="45"/>
          <w:szCs w:val="45"/>
          <w:highlight w:val="none"/>
        </w:rPr>
      </w:pPr>
      <w:r>
        <w:rPr>
          <w:rFonts w:hint="eastAsia" w:ascii="Times New Roman" w:hAnsi="Times New Roman" w:eastAsia="方正小标宋简体" w:cs="方正小标宋简体"/>
          <w:b w:val="0"/>
          <w:bCs w:val="0"/>
          <w:color w:val="000000"/>
          <w:spacing w:val="-15"/>
          <w:sz w:val="44"/>
          <w:szCs w:val="44"/>
          <w:highlight w:val="none"/>
        </w:rPr>
        <w:t>树木补偿指导价</w:t>
      </w:r>
    </w:p>
    <w:p w14:paraId="22BA6367">
      <w:pPr>
        <w:keepNext w:val="0"/>
        <w:keepLines w:val="0"/>
        <w:pageBreakBefore w:val="0"/>
        <w:wordWrap/>
        <w:overflowPunct/>
        <w:topLinePunct w:val="0"/>
        <w:bidi w:val="0"/>
        <w:spacing w:before="90" w:line="560" w:lineRule="exact"/>
        <w:ind w:firstLine="620" w:firstLineChars="200"/>
        <w:jc w:val="both"/>
        <w:rPr>
          <w:rFonts w:hint="default" w:ascii="Times New Roman" w:hAnsi="Times New Roman" w:eastAsia="黑体" w:cs="宋体"/>
          <w:b/>
          <w:bCs/>
          <w:color w:val="000000"/>
          <w:spacing w:val="-15"/>
          <w:sz w:val="45"/>
          <w:szCs w:val="45"/>
          <w:highlight w:val="none"/>
          <w:lang w:val="en-US" w:eastAsia="zh-CN"/>
        </w:rPr>
      </w:pPr>
      <w:r>
        <w:rPr>
          <w:rFonts w:hint="eastAsia" w:ascii="Times New Roman" w:hAnsi="Times New Roman" w:eastAsia="黑体" w:cs="黑体"/>
          <w:b w:val="0"/>
          <w:bCs w:val="0"/>
          <w:color w:val="000000"/>
          <w:spacing w:val="-5"/>
          <w:sz w:val="32"/>
          <w:szCs w:val="32"/>
          <w:highlight w:val="none"/>
          <w:lang w:val="en-US" w:eastAsia="zh-CN"/>
        </w:rPr>
        <w:t>一</w:t>
      </w:r>
      <w:r>
        <w:rPr>
          <w:rFonts w:hint="eastAsia" w:ascii="Times New Roman" w:hAnsi="Times New Roman" w:eastAsia="黑体" w:cs="黑体"/>
          <w:b w:val="0"/>
          <w:bCs w:val="0"/>
          <w:color w:val="000000"/>
          <w:spacing w:val="-5"/>
          <w:sz w:val="32"/>
          <w:szCs w:val="32"/>
          <w:highlight w:val="none"/>
        </w:rPr>
        <w:t>、</w:t>
      </w:r>
      <w:r>
        <w:rPr>
          <w:rFonts w:hint="eastAsia" w:ascii="Times New Roman" w:hAnsi="Times New Roman" w:eastAsia="黑体" w:cs="黑体"/>
          <w:b w:val="0"/>
          <w:bCs w:val="0"/>
          <w:color w:val="000000"/>
          <w:spacing w:val="-5"/>
          <w:sz w:val="32"/>
          <w:szCs w:val="32"/>
          <w:highlight w:val="none"/>
          <w:lang w:val="en-US" w:eastAsia="zh-CN"/>
        </w:rPr>
        <w:t>野生麻黄、野生甘草等</w:t>
      </w:r>
    </w:p>
    <w:tbl>
      <w:tblPr>
        <w:tblStyle w:val="10"/>
        <w:tblW w:w="86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3"/>
        <w:gridCol w:w="2604"/>
        <w:gridCol w:w="1274"/>
        <w:gridCol w:w="1912"/>
        <w:gridCol w:w="2144"/>
      </w:tblGrid>
      <w:tr w14:paraId="3B174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763" w:type="dxa"/>
            <w:noWrap w:val="0"/>
            <w:vAlign w:val="center"/>
          </w:tcPr>
          <w:p w14:paraId="41537D32">
            <w:pPr>
              <w:pStyle w:val="9"/>
              <w:keepNext w:val="0"/>
              <w:keepLines w:val="0"/>
              <w:pageBreakBefore w:val="0"/>
              <w:wordWrap/>
              <w:overflowPunct/>
              <w:topLinePunct w:val="0"/>
              <w:bidi w:val="0"/>
              <w:spacing w:before="213" w:line="560" w:lineRule="exact"/>
              <w:ind w:left="108"/>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6"/>
                <w:sz w:val="32"/>
                <w:szCs w:val="32"/>
                <w:highlight w:val="none"/>
              </w:rPr>
              <w:t>序号</w:t>
            </w:r>
          </w:p>
        </w:tc>
        <w:tc>
          <w:tcPr>
            <w:tcW w:w="2604" w:type="dxa"/>
            <w:noWrap w:val="0"/>
            <w:vAlign w:val="center"/>
          </w:tcPr>
          <w:p w14:paraId="65E3E852">
            <w:pPr>
              <w:pStyle w:val="9"/>
              <w:keepNext w:val="0"/>
              <w:keepLines w:val="0"/>
              <w:pageBreakBefore w:val="0"/>
              <w:wordWrap/>
              <w:overflowPunct/>
              <w:topLinePunct w:val="0"/>
              <w:bidi w:val="0"/>
              <w:spacing w:before="173" w:line="560" w:lineRule="exact"/>
              <w:jc w:val="center"/>
              <w:rPr>
                <w:rFonts w:hint="eastAsia" w:ascii="Times New Roman" w:hAnsi="Times New Roman" w:eastAsia="黑体" w:cs="黑体"/>
                <w:b w:val="0"/>
                <w:bCs w:val="0"/>
                <w:color w:val="000000"/>
                <w:sz w:val="32"/>
                <w:szCs w:val="32"/>
                <w:highlight w:val="none"/>
                <w:lang w:eastAsia="zh-CN"/>
              </w:rPr>
            </w:pPr>
            <w:r>
              <w:rPr>
                <w:rFonts w:hint="eastAsia" w:ascii="Times New Roman" w:hAnsi="Times New Roman" w:eastAsia="黑体" w:cs="黑体"/>
                <w:b w:val="0"/>
                <w:bCs w:val="0"/>
                <w:color w:val="000000"/>
                <w:spacing w:val="-1"/>
                <w:sz w:val="32"/>
                <w:szCs w:val="32"/>
                <w:highlight w:val="none"/>
                <w:lang w:val="en-US" w:eastAsia="zh-CN"/>
              </w:rPr>
              <w:t>品  种</w:t>
            </w:r>
          </w:p>
        </w:tc>
        <w:tc>
          <w:tcPr>
            <w:tcW w:w="1274" w:type="dxa"/>
            <w:noWrap w:val="0"/>
            <w:vAlign w:val="center"/>
          </w:tcPr>
          <w:p w14:paraId="5E4F4984">
            <w:pPr>
              <w:pStyle w:val="9"/>
              <w:keepNext w:val="0"/>
              <w:keepLines w:val="0"/>
              <w:pageBreakBefore w:val="0"/>
              <w:wordWrap/>
              <w:overflowPunct/>
              <w:topLinePunct w:val="0"/>
              <w:bidi w:val="0"/>
              <w:spacing w:before="223" w:line="560" w:lineRule="exact"/>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7"/>
                <w:sz w:val="32"/>
                <w:szCs w:val="32"/>
                <w:highlight w:val="none"/>
              </w:rPr>
              <w:t>单位</w:t>
            </w:r>
          </w:p>
        </w:tc>
        <w:tc>
          <w:tcPr>
            <w:tcW w:w="1912" w:type="dxa"/>
            <w:noWrap w:val="0"/>
            <w:vAlign w:val="center"/>
          </w:tcPr>
          <w:p w14:paraId="6860C1C3">
            <w:pPr>
              <w:pStyle w:val="9"/>
              <w:keepNext w:val="0"/>
              <w:keepLines w:val="0"/>
              <w:pageBreakBefore w:val="0"/>
              <w:wordWrap/>
              <w:overflowPunct/>
              <w:topLinePunct w:val="0"/>
              <w:bidi w:val="0"/>
              <w:spacing w:before="219" w:line="560" w:lineRule="exact"/>
              <w:jc w:val="center"/>
              <w:rPr>
                <w:rFonts w:hint="eastAsia" w:ascii="Times New Roman" w:hAnsi="Times New Roman" w:eastAsia="黑体" w:cs="黑体"/>
                <w:b w:val="0"/>
                <w:bCs w:val="0"/>
                <w:color w:val="000000"/>
                <w:sz w:val="32"/>
                <w:szCs w:val="32"/>
                <w:highlight w:val="none"/>
                <w:lang w:val="en-US" w:eastAsia="zh-CN"/>
              </w:rPr>
            </w:pPr>
            <w:r>
              <w:rPr>
                <w:rFonts w:hint="eastAsia" w:ascii="Times New Roman" w:hAnsi="Times New Roman" w:eastAsia="黑体" w:cs="黑体"/>
                <w:b w:val="0"/>
                <w:bCs w:val="0"/>
                <w:color w:val="000000"/>
                <w:spacing w:val="-6"/>
                <w:sz w:val="32"/>
                <w:szCs w:val="32"/>
                <w:highlight w:val="none"/>
                <w:lang w:val="en-US" w:eastAsia="zh-CN"/>
              </w:rPr>
              <w:t>补偿标准（元）</w:t>
            </w:r>
          </w:p>
        </w:tc>
        <w:tc>
          <w:tcPr>
            <w:tcW w:w="2144" w:type="dxa"/>
            <w:noWrap w:val="0"/>
            <w:vAlign w:val="center"/>
          </w:tcPr>
          <w:p w14:paraId="46EDADAF">
            <w:pPr>
              <w:pStyle w:val="9"/>
              <w:keepNext w:val="0"/>
              <w:keepLines w:val="0"/>
              <w:pageBreakBefore w:val="0"/>
              <w:wordWrap/>
              <w:overflowPunct/>
              <w:topLinePunct w:val="0"/>
              <w:bidi w:val="0"/>
              <w:spacing w:before="243" w:line="560" w:lineRule="exact"/>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7"/>
                <w:sz w:val="32"/>
                <w:szCs w:val="32"/>
                <w:highlight w:val="none"/>
              </w:rPr>
              <w:t>备</w:t>
            </w:r>
            <w:r>
              <w:rPr>
                <w:rFonts w:hint="eastAsia" w:ascii="Times New Roman" w:hAnsi="Times New Roman" w:eastAsia="黑体" w:cs="黑体"/>
                <w:b w:val="0"/>
                <w:bCs w:val="0"/>
                <w:color w:val="000000"/>
                <w:spacing w:val="-7"/>
                <w:sz w:val="32"/>
                <w:szCs w:val="32"/>
                <w:highlight w:val="none"/>
                <w:lang w:val="en-US" w:eastAsia="zh-CN"/>
              </w:rPr>
              <w:t xml:space="preserve">  </w:t>
            </w:r>
            <w:r>
              <w:rPr>
                <w:rFonts w:hint="eastAsia" w:ascii="Times New Roman" w:hAnsi="Times New Roman" w:eastAsia="黑体" w:cs="黑体"/>
                <w:b w:val="0"/>
                <w:bCs w:val="0"/>
                <w:color w:val="000000"/>
                <w:spacing w:val="-7"/>
                <w:sz w:val="32"/>
                <w:szCs w:val="32"/>
                <w:highlight w:val="none"/>
              </w:rPr>
              <w:t>注</w:t>
            </w:r>
          </w:p>
        </w:tc>
      </w:tr>
      <w:tr w14:paraId="4284D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763" w:type="dxa"/>
            <w:noWrap w:val="0"/>
            <w:vAlign w:val="center"/>
          </w:tcPr>
          <w:p w14:paraId="3A28C31D">
            <w:pPr>
              <w:pStyle w:val="9"/>
              <w:keepNext w:val="0"/>
              <w:keepLines w:val="0"/>
              <w:pageBreakBefore w:val="0"/>
              <w:wordWrap/>
              <w:overflowPunct/>
              <w:topLinePunct w:val="0"/>
              <w:bidi w:val="0"/>
              <w:spacing w:before="216" w:line="560" w:lineRule="exact"/>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z w:val="28"/>
                <w:szCs w:val="28"/>
                <w:highlight w:val="none"/>
                <w:lang w:val="en-US" w:eastAsia="zh-CN"/>
              </w:rPr>
              <w:t>1</w:t>
            </w:r>
          </w:p>
        </w:tc>
        <w:tc>
          <w:tcPr>
            <w:tcW w:w="2604" w:type="dxa"/>
            <w:noWrap w:val="0"/>
            <w:vAlign w:val="top"/>
          </w:tcPr>
          <w:p w14:paraId="453FEBBE">
            <w:pPr>
              <w:pStyle w:val="9"/>
              <w:keepNext w:val="0"/>
              <w:keepLines w:val="0"/>
              <w:pageBreakBefore w:val="0"/>
              <w:wordWrap/>
              <w:overflowPunct/>
              <w:topLinePunct w:val="0"/>
              <w:bidi w:val="0"/>
              <w:spacing w:before="145"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野生麻黄</w:t>
            </w:r>
          </w:p>
        </w:tc>
        <w:tc>
          <w:tcPr>
            <w:tcW w:w="1274" w:type="dxa"/>
            <w:noWrap w:val="0"/>
            <w:vAlign w:val="top"/>
          </w:tcPr>
          <w:p w14:paraId="14F6FF03">
            <w:pPr>
              <w:pStyle w:val="9"/>
              <w:keepNext w:val="0"/>
              <w:keepLines w:val="0"/>
              <w:pageBreakBefore w:val="0"/>
              <w:wordWrap/>
              <w:overflowPunct/>
              <w:topLinePunct w:val="0"/>
              <w:bidi w:val="0"/>
              <w:spacing w:before="145" w:line="560" w:lineRule="exact"/>
              <w:ind w:left="134"/>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元/亩</w:t>
            </w:r>
          </w:p>
        </w:tc>
        <w:tc>
          <w:tcPr>
            <w:tcW w:w="1912" w:type="dxa"/>
            <w:noWrap w:val="0"/>
            <w:vAlign w:val="top"/>
          </w:tcPr>
          <w:p w14:paraId="6AA50499">
            <w:pPr>
              <w:pStyle w:val="9"/>
              <w:keepNext w:val="0"/>
              <w:keepLines w:val="0"/>
              <w:pageBreakBefore w:val="0"/>
              <w:wordWrap/>
              <w:overflowPunct/>
              <w:topLinePunct w:val="0"/>
              <w:bidi w:val="0"/>
              <w:spacing w:before="214"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280</w:t>
            </w:r>
          </w:p>
        </w:tc>
        <w:tc>
          <w:tcPr>
            <w:tcW w:w="2144" w:type="dxa"/>
            <w:noWrap w:val="0"/>
            <w:vAlign w:val="top"/>
          </w:tcPr>
          <w:p w14:paraId="25A26685">
            <w:pPr>
              <w:pStyle w:val="9"/>
              <w:keepNext w:val="0"/>
              <w:keepLines w:val="0"/>
              <w:pageBreakBefore w:val="0"/>
              <w:wordWrap/>
              <w:overflowPunct/>
              <w:topLinePunct w:val="0"/>
              <w:bidi w:val="0"/>
              <w:spacing w:before="214"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26709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763" w:type="dxa"/>
            <w:noWrap w:val="0"/>
            <w:vAlign w:val="center"/>
          </w:tcPr>
          <w:p w14:paraId="484469F4">
            <w:pPr>
              <w:pStyle w:val="9"/>
              <w:keepNext w:val="0"/>
              <w:keepLines w:val="0"/>
              <w:pageBreakBefore w:val="0"/>
              <w:wordWrap/>
              <w:overflowPunct/>
              <w:topLinePunct w:val="0"/>
              <w:bidi w:val="0"/>
              <w:spacing w:before="205" w:line="560" w:lineRule="exact"/>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z w:val="28"/>
                <w:szCs w:val="28"/>
                <w:highlight w:val="none"/>
                <w:lang w:val="en-US" w:eastAsia="zh-CN"/>
              </w:rPr>
              <w:t>2</w:t>
            </w:r>
          </w:p>
        </w:tc>
        <w:tc>
          <w:tcPr>
            <w:tcW w:w="2604" w:type="dxa"/>
            <w:noWrap w:val="0"/>
            <w:vAlign w:val="top"/>
          </w:tcPr>
          <w:p w14:paraId="1A50B6FF">
            <w:pPr>
              <w:pStyle w:val="9"/>
              <w:keepNext w:val="0"/>
              <w:keepLines w:val="0"/>
              <w:pageBreakBefore w:val="0"/>
              <w:wordWrap/>
              <w:overflowPunct/>
              <w:topLinePunct w:val="0"/>
              <w:bidi w:val="0"/>
              <w:spacing w:before="136"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野生甘草</w:t>
            </w:r>
          </w:p>
        </w:tc>
        <w:tc>
          <w:tcPr>
            <w:tcW w:w="1274" w:type="dxa"/>
            <w:noWrap w:val="0"/>
            <w:vAlign w:val="top"/>
          </w:tcPr>
          <w:p w14:paraId="1EF0B330">
            <w:pPr>
              <w:pStyle w:val="9"/>
              <w:keepNext w:val="0"/>
              <w:keepLines w:val="0"/>
              <w:pageBreakBefore w:val="0"/>
              <w:wordWrap/>
              <w:overflowPunct/>
              <w:topLinePunct w:val="0"/>
              <w:bidi w:val="0"/>
              <w:spacing w:before="136" w:line="560" w:lineRule="exact"/>
              <w:ind w:left="134"/>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元/亩</w:t>
            </w:r>
          </w:p>
        </w:tc>
        <w:tc>
          <w:tcPr>
            <w:tcW w:w="1912" w:type="dxa"/>
            <w:noWrap w:val="0"/>
            <w:vAlign w:val="top"/>
          </w:tcPr>
          <w:p w14:paraId="64807DE9">
            <w:pPr>
              <w:pStyle w:val="9"/>
              <w:keepNext w:val="0"/>
              <w:keepLines w:val="0"/>
              <w:pageBreakBefore w:val="0"/>
              <w:wordWrap/>
              <w:overflowPunct/>
              <w:topLinePunct w:val="0"/>
              <w:bidi w:val="0"/>
              <w:spacing w:before="205"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500</w:t>
            </w:r>
          </w:p>
        </w:tc>
        <w:tc>
          <w:tcPr>
            <w:tcW w:w="2144" w:type="dxa"/>
            <w:noWrap w:val="0"/>
            <w:vAlign w:val="top"/>
          </w:tcPr>
          <w:p w14:paraId="4EC1ACAE">
            <w:pPr>
              <w:pStyle w:val="9"/>
              <w:keepNext w:val="0"/>
              <w:keepLines w:val="0"/>
              <w:pageBreakBefore w:val="0"/>
              <w:wordWrap/>
              <w:overflowPunct/>
              <w:topLinePunct w:val="0"/>
              <w:bidi w:val="0"/>
              <w:spacing w:before="205"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19B4B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763" w:type="dxa"/>
            <w:noWrap w:val="0"/>
            <w:vAlign w:val="center"/>
          </w:tcPr>
          <w:p w14:paraId="0DA8D686">
            <w:pPr>
              <w:pStyle w:val="9"/>
              <w:keepNext w:val="0"/>
              <w:keepLines w:val="0"/>
              <w:pageBreakBefore w:val="0"/>
              <w:wordWrap/>
              <w:overflowPunct/>
              <w:topLinePunct w:val="0"/>
              <w:bidi w:val="0"/>
              <w:spacing w:before="215" w:line="560" w:lineRule="exact"/>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z w:val="28"/>
                <w:szCs w:val="28"/>
                <w:highlight w:val="none"/>
                <w:lang w:val="en-US" w:eastAsia="zh-CN"/>
              </w:rPr>
              <w:t>3</w:t>
            </w:r>
          </w:p>
        </w:tc>
        <w:tc>
          <w:tcPr>
            <w:tcW w:w="2604" w:type="dxa"/>
            <w:noWrap w:val="0"/>
            <w:vAlign w:val="top"/>
          </w:tcPr>
          <w:p w14:paraId="203EF766">
            <w:pPr>
              <w:pStyle w:val="9"/>
              <w:keepNext w:val="0"/>
              <w:keepLines w:val="0"/>
              <w:pageBreakBefore w:val="0"/>
              <w:wordWrap/>
              <w:overflowPunct/>
              <w:topLinePunct w:val="0"/>
              <w:bidi w:val="0"/>
              <w:spacing w:before="146"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人工麻黄</w:t>
            </w:r>
          </w:p>
        </w:tc>
        <w:tc>
          <w:tcPr>
            <w:tcW w:w="1274" w:type="dxa"/>
            <w:noWrap w:val="0"/>
            <w:vAlign w:val="top"/>
          </w:tcPr>
          <w:p w14:paraId="59224204">
            <w:pPr>
              <w:pStyle w:val="9"/>
              <w:keepNext w:val="0"/>
              <w:keepLines w:val="0"/>
              <w:pageBreakBefore w:val="0"/>
              <w:wordWrap/>
              <w:overflowPunct/>
              <w:topLinePunct w:val="0"/>
              <w:bidi w:val="0"/>
              <w:spacing w:before="146" w:line="560" w:lineRule="exact"/>
              <w:ind w:left="134"/>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元/亩</w:t>
            </w:r>
          </w:p>
        </w:tc>
        <w:tc>
          <w:tcPr>
            <w:tcW w:w="1912" w:type="dxa"/>
            <w:noWrap w:val="0"/>
            <w:vAlign w:val="top"/>
          </w:tcPr>
          <w:p w14:paraId="5F9FA687">
            <w:pPr>
              <w:pStyle w:val="9"/>
              <w:keepNext w:val="0"/>
              <w:keepLines w:val="0"/>
              <w:pageBreakBefore w:val="0"/>
              <w:wordWrap/>
              <w:overflowPunct/>
              <w:topLinePunct w:val="0"/>
              <w:bidi w:val="0"/>
              <w:spacing w:before="214"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2100</w:t>
            </w:r>
          </w:p>
        </w:tc>
        <w:tc>
          <w:tcPr>
            <w:tcW w:w="2144" w:type="dxa"/>
            <w:noWrap w:val="0"/>
            <w:vAlign w:val="top"/>
          </w:tcPr>
          <w:p w14:paraId="552C5003">
            <w:pPr>
              <w:pStyle w:val="9"/>
              <w:keepNext w:val="0"/>
              <w:keepLines w:val="0"/>
              <w:pageBreakBefore w:val="0"/>
              <w:wordWrap/>
              <w:overflowPunct/>
              <w:topLinePunct w:val="0"/>
              <w:bidi w:val="0"/>
              <w:spacing w:before="214"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2A618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63" w:type="dxa"/>
            <w:noWrap w:val="0"/>
            <w:vAlign w:val="center"/>
          </w:tcPr>
          <w:p w14:paraId="0E4E8016">
            <w:pPr>
              <w:pStyle w:val="9"/>
              <w:keepNext w:val="0"/>
              <w:keepLines w:val="0"/>
              <w:pageBreakBefore w:val="0"/>
              <w:wordWrap/>
              <w:overflowPunct/>
              <w:topLinePunct w:val="0"/>
              <w:bidi w:val="0"/>
              <w:spacing w:before="215" w:line="560" w:lineRule="exact"/>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pacing w:val="-8"/>
                <w:sz w:val="28"/>
                <w:szCs w:val="28"/>
                <w:highlight w:val="none"/>
                <w:lang w:val="en-US" w:eastAsia="zh-CN"/>
              </w:rPr>
              <w:t>4</w:t>
            </w:r>
          </w:p>
        </w:tc>
        <w:tc>
          <w:tcPr>
            <w:tcW w:w="2604" w:type="dxa"/>
            <w:noWrap w:val="0"/>
            <w:vAlign w:val="top"/>
          </w:tcPr>
          <w:p w14:paraId="2E5D078D">
            <w:pPr>
              <w:pStyle w:val="9"/>
              <w:keepNext w:val="0"/>
              <w:keepLines w:val="0"/>
              <w:pageBreakBefore w:val="0"/>
              <w:wordWrap/>
              <w:overflowPunct/>
              <w:topLinePunct w:val="0"/>
              <w:bidi w:val="0"/>
              <w:spacing w:before="147"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8"/>
                <w:sz w:val="28"/>
                <w:szCs w:val="28"/>
                <w:highlight w:val="none"/>
              </w:rPr>
              <w:t>苜</w:t>
            </w:r>
            <w:r>
              <w:rPr>
                <w:rFonts w:hint="eastAsia" w:ascii="Times New Roman" w:hAnsi="Times New Roman" w:eastAsia="仿宋_GB2312" w:cs="仿宋_GB2312"/>
                <w:color w:val="000000"/>
                <w:spacing w:val="8"/>
                <w:sz w:val="28"/>
                <w:szCs w:val="28"/>
                <w:highlight w:val="none"/>
                <w:lang w:val="en-US" w:eastAsia="zh-CN"/>
              </w:rPr>
              <w:t xml:space="preserve">  </w:t>
            </w:r>
            <w:r>
              <w:rPr>
                <w:rFonts w:hint="eastAsia" w:ascii="Times New Roman" w:hAnsi="Times New Roman" w:eastAsia="仿宋_GB2312" w:cs="仿宋_GB2312"/>
                <w:color w:val="000000"/>
                <w:spacing w:val="8"/>
                <w:sz w:val="28"/>
                <w:szCs w:val="28"/>
                <w:highlight w:val="none"/>
              </w:rPr>
              <w:t>蓿</w:t>
            </w:r>
          </w:p>
        </w:tc>
        <w:tc>
          <w:tcPr>
            <w:tcW w:w="1274" w:type="dxa"/>
            <w:noWrap w:val="0"/>
            <w:vAlign w:val="top"/>
          </w:tcPr>
          <w:p w14:paraId="0D9CC92F">
            <w:pPr>
              <w:pStyle w:val="9"/>
              <w:keepNext w:val="0"/>
              <w:keepLines w:val="0"/>
              <w:pageBreakBefore w:val="0"/>
              <w:wordWrap/>
              <w:overflowPunct/>
              <w:topLinePunct w:val="0"/>
              <w:bidi w:val="0"/>
              <w:spacing w:before="147" w:line="560" w:lineRule="exact"/>
              <w:ind w:left="134"/>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元/亩</w:t>
            </w:r>
          </w:p>
        </w:tc>
        <w:tc>
          <w:tcPr>
            <w:tcW w:w="1912" w:type="dxa"/>
            <w:noWrap w:val="0"/>
            <w:vAlign w:val="top"/>
          </w:tcPr>
          <w:p w14:paraId="17F927D8">
            <w:pPr>
              <w:pStyle w:val="9"/>
              <w:keepNext w:val="0"/>
              <w:keepLines w:val="0"/>
              <w:pageBreakBefore w:val="0"/>
              <w:wordWrap/>
              <w:overflowPunct/>
              <w:topLinePunct w:val="0"/>
              <w:bidi w:val="0"/>
              <w:spacing w:before="215"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6"/>
                <w:sz w:val="28"/>
                <w:szCs w:val="28"/>
                <w:highlight w:val="none"/>
                <w:lang w:val="en-US" w:eastAsia="zh-CN"/>
              </w:rPr>
              <w:t>2000</w:t>
            </w:r>
          </w:p>
        </w:tc>
        <w:tc>
          <w:tcPr>
            <w:tcW w:w="2144" w:type="dxa"/>
            <w:noWrap w:val="0"/>
            <w:vAlign w:val="top"/>
          </w:tcPr>
          <w:p w14:paraId="32DF954E">
            <w:pPr>
              <w:pStyle w:val="9"/>
              <w:keepNext w:val="0"/>
              <w:keepLines w:val="0"/>
              <w:pageBreakBefore w:val="0"/>
              <w:wordWrap/>
              <w:overflowPunct/>
              <w:topLinePunct w:val="0"/>
              <w:bidi w:val="0"/>
              <w:spacing w:before="215"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3F4F4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63" w:type="dxa"/>
            <w:noWrap w:val="0"/>
            <w:vAlign w:val="center"/>
          </w:tcPr>
          <w:p w14:paraId="5E43DBCE">
            <w:pPr>
              <w:pStyle w:val="9"/>
              <w:keepNext w:val="0"/>
              <w:keepLines w:val="0"/>
              <w:pageBreakBefore w:val="0"/>
              <w:wordWrap/>
              <w:overflowPunct/>
              <w:topLinePunct w:val="0"/>
              <w:bidi w:val="0"/>
              <w:spacing w:before="215" w:line="560" w:lineRule="exact"/>
              <w:jc w:val="center"/>
              <w:rPr>
                <w:rFonts w:hint="default" w:ascii="Times New Roman" w:hAnsi="Times New Roman" w:eastAsia="仿宋_GB2312" w:cs="仿宋_GB2312"/>
                <w:color w:val="000000"/>
                <w:spacing w:val="-8"/>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5</w:t>
            </w:r>
          </w:p>
        </w:tc>
        <w:tc>
          <w:tcPr>
            <w:tcW w:w="2604" w:type="dxa"/>
            <w:noWrap w:val="0"/>
            <w:vAlign w:val="top"/>
          </w:tcPr>
          <w:p w14:paraId="17DD0BAF">
            <w:pPr>
              <w:pStyle w:val="9"/>
              <w:keepNext w:val="0"/>
              <w:keepLines w:val="0"/>
              <w:pageBreakBefore w:val="0"/>
              <w:wordWrap/>
              <w:overflowPunct/>
              <w:topLinePunct w:val="0"/>
              <w:bidi w:val="0"/>
              <w:spacing w:before="147" w:line="560" w:lineRule="exact"/>
              <w:jc w:val="center"/>
              <w:rPr>
                <w:rFonts w:hint="eastAsia" w:ascii="Times New Roman" w:hAnsi="Times New Roman" w:eastAsia="仿宋_GB2312" w:cs="仿宋_GB2312"/>
                <w:color w:val="000000"/>
                <w:spacing w:val="8"/>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苗  圃</w:t>
            </w:r>
          </w:p>
        </w:tc>
        <w:tc>
          <w:tcPr>
            <w:tcW w:w="1274" w:type="dxa"/>
            <w:noWrap w:val="0"/>
            <w:vAlign w:val="top"/>
          </w:tcPr>
          <w:p w14:paraId="3A0DD0DA">
            <w:pPr>
              <w:pStyle w:val="9"/>
              <w:keepNext w:val="0"/>
              <w:keepLines w:val="0"/>
              <w:pageBreakBefore w:val="0"/>
              <w:wordWrap/>
              <w:overflowPunct/>
              <w:topLinePunct w:val="0"/>
              <w:bidi w:val="0"/>
              <w:spacing w:before="147" w:line="560" w:lineRule="exact"/>
              <w:ind w:left="134"/>
              <w:jc w:val="center"/>
              <w:rPr>
                <w:rFonts w:hint="eastAsia" w:ascii="Times New Roman" w:hAnsi="Times New Roman" w:eastAsia="仿宋_GB2312" w:cs="仿宋_GB2312"/>
                <w:color w:val="000000"/>
                <w:spacing w:val="-3"/>
                <w:sz w:val="28"/>
                <w:szCs w:val="28"/>
                <w:highlight w:val="none"/>
              </w:rPr>
            </w:pPr>
            <w:r>
              <w:rPr>
                <w:rFonts w:hint="eastAsia" w:ascii="Times New Roman" w:hAnsi="Times New Roman" w:eastAsia="仿宋_GB2312" w:cs="仿宋_GB2312"/>
                <w:color w:val="000000"/>
                <w:spacing w:val="-3"/>
                <w:sz w:val="28"/>
                <w:szCs w:val="28"/>
                <w:highlight w:val="none"/>
              </w:rPr>
              <w:t>元/亩</w:t>
            </w:r>
          </w:p>
        </w:tc>
        <w:tc>
          <w:tcPr>
            <w:tcW w:w="1912" w:type="dxa"/>
            <w:noWrap w:val="0"/>
            <w:vAlign w:val="top"/>
          </w:tcPr>
          <w:p w14:paraId="69894917">
            <w:pPr>
              <w:pStyle w:val="9"/>
              <w:keepNext w:val="0"/>
              <w:keepLines w:val="0"/>
              <w:pageBreakBefore w:val="0"/>
              <w:wordWrap/>
              <w:overflowPunct/>
              <w:topLinePunct w:val="0"/>
              <w:bidi w:val="0"/>
              <w:spacing w:before="215" w:line="560" w:lineRule="exact"/>
              <w:jc w:val="center"/>
              <w:rPr>
                <w:rFonts w:hint="default" w:ascii="Times New Roman" w:hAnsi="Times New Roman" w:eastAsia="仿宋_GB2312" w:cs="仿宋_GB2312"/>
                <w:color w:val="000000"/>
                <w:spacing w:val="-6"/>
                <w:sz w:val="28"/>
                <w:szCs w:val="28"/>
                <w:highlight w:val="none"/>
                <w:lang w:val="en-US" w:eastAsia="zh-CN"/>
              </w:rPr>
            </w:pPr>
            <w:r>
              <w:rPr>
                <w:rFonts w:hint="eastAsia" w:ascii="Times New Roman" w:hAnsi="Times New Roman" w:eastAsia="仿宋_GB2312" w:cs="仿宋_GB2312"/>
                <w:color w:val="000000"/>
                <w:spacing w:val="-6"/>
                <w:sz w:val="28"/>
                <w:szCs w:val="28"/>
                <w:highlight w:val="none"/>
                <w:lang w:val="en-US" w:eastAsia="zh-CN"/>
              </w:rPr>
              <w:t>8600</w:t>
            </w:r>
          </w:p>
        </w:tc>
        <w:tc>
          <w:tcPr>
            <w:tcW w:w="2144" w:type="dxa"/>
            <w:noWrap w:val="0"/>
            <w:vAlign w:val="top"/>
          </w:tcPr>
          <w:p w14:paraId="33EDAA57">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3A0DD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63" w:type="dxa"/>
            <w:noWrap w:val="0"/>
            <w:vAlign w:val="center"/>
          </w:tcPr>
          <w:p w14:paraId="282BBEEE">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5"/>
                <w:sz w:val="28"/>
                <w:szCs w:val="28"/>
                <w:highlight w:val="none"/>
                <w:lang w:val="en-US" w:eastAsia="zh-CN"/>
              </w:rPr>
              <w:t>6</w:t>
            </w:r>
          </w:p>
        </w:tc>
        <w:tc>
          <w:tcPr>
            <w:tcW w:w="2604" w:type="dxa"/>
            <w:noWrap w:val="0"/>
            <w:vAlign w:val="top"/>
          </w:tcPr>
          <w:p w14:paraId="02078AFA">
            <w:pPr>
              <w:pStyle w:val="9"/>
              <w:keepNext w:val="0"/>
              <w:keepLines w:val="0"/>
              <w:pageBreakBefore w:val="0"/>
              <w:wordWrap/>
              <w:overflowPunct/>
              <w:topLinePunct w:val="0"/>
              <w:bidi w:val="0"/>
              <w:spacing w:before="137"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8"/>
                <w:sz w:val="28"/>
                <w:szCs w:val="28"/>
                <w:highlight w:val="none"/>
              </w:rPr>
              <w:t>红</w:t>
            </w:r>
            <w:r>
              <w:rPr>
                <w:rFonts w:hint="eastAsia" w:ascii="Times New Roman" w:hAnsi="Times New Roman" w:eastAsia="仿宋_GB2312" w:cs="仿宋_GB2312"/>
                <w:color w:val="000000"/>
                <w:spacing w:val="8"/>
                <w:sz w:val="28"/>
                <w:szCs w:val="28"/>
                <w:highlight w:val="none"/>
                <w:lang w:val="en-US" w:eastAsia="zh-CN"/>
              </w:rPr>
              <w:t xml:space="preserve">  </w:t>
            </w:r>
            <w:r>
              <w:rPr>
                <w:rFonts w:hint="eastAsia" w:ascii="Times New Roman" w:hAnsi="Times New Roman" w:eastAsia="仿宋_GB2312" w:cs="仿宋_GB2312"/>
                <w:color w:val="000000"/>
                <w:spacing w:val="8"/>
                <w:sz w:val="28"/>
                <w:szCs w:val="28"/>
                <w:highlight w:val="none"/>
              </w:rPr>
              <w:t>柳</w:t>
            </w:r>
          </w:p>
        </w:tc>
        <w:tc>
          <w:tcPr>
            <w:tcW w:w="1274" w:type="dxa"/>
            <w:noWrap w:val="0"/>
            <w:vAlign w:val="top"/>
          </w:tcPr>
          <w:p w14:paraId="6D6EF166">
            <w:pPr>
              <w:pStyle w:val="9"/>
              <w:keepNext w:val="0"/>
              <w:keepLines w:val="0"/>
              <w:pageBreakBefore w:val="0"/>
              <w:wordWrap/>
              <w:overflowPunct/>
              <w:topLinePunct w:val="0"/>
              <w:bidi w:val="0"/>
              <w:spacing w:before="140" w:line="560" w:lineRule="exact"/>
              <w:ind w:left="123" w:leftChars="0"/>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元/亩</w:t>
            </w:r>
          </w:p>
        </w:tc>
        <w:tc>
          <w:tcPr>
            <w:tcW w:w="1912" w:type="dxa"/>
            <w:noWrap w:val="0"/>
            <w:vAlign w:val="top"/>
          </w:tcPr>
          <w:p w14:paraId="62BC5356">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280</w:t>
            </w:r>
          </w:p>
        </w:tc>
        <w:tc>
          <w:tcPr>
            <w:tcW w:w="2144" w:type="dxa"/>
            <w:noWrap w:val="0"/>
            <w:vAlign w:val="top"/>
          </w:tcPr>
          <w:p w14:paraId="793481AE">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p>
        </w:tc>
      </w:tr>
      <w:tr w14:paraId="4D345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63" w:type="dxa"/>
            <w:noWrap w:val="0"/>
            <w:vAlign w:val="center"/>
          </w:tcPr>
          <w:p w14:paraId="1626A39A">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5"/>
                <w:sz w:val="28"/>
                <w:szCs w:val="28"/>
                <w:highlight w:val="none"/>
                <w:lang w:val="en-US" w:eastAsia="zh-CN"/>
              </w:rPr>
              <w:t>7</w:t>
            </w:r>
          </w:p>
        </w:tc>
        <w:tc>
          <w:tcPr>
            <w:tcW w:w="2604" w:type="dxa"/>
            <w:noWrap w:val="0"/>
            <w:vAlign w:val="top"/>
          </w:tcPr>
          <w:p w14:paraId="25A19DAB">
            <w:pPr>
              <w:pStyle w:val="9"/>
              <w:keepNext w:val="0"/>
              <w:keepLines w:val="0"/>
              <w:pageBreakBefore w:val="0"/>
              <w:wordWrap/>
              <w:overflowPunct/>
              <w:topLinePunct w:val="0"/>
              <w:bidi w:val="0"/>
              <w:spacing w:before="137"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8"/>
                <w:sz w:val="28"/>
                <w:szCs w:val="28"/>
                <w:highlight w:val="none"/>
              </w:rPr>
              <w:t>沙</w:t>
            </w:r>
            <w:r>
              <w:rPr>
                <w:rFonts w:hint="eastAsia" w:ascii="Times New Roman" w:hAnsi="Times New Roman" w:eastAsia="仿宋_GB2312" w:cs="仿宋_GB2312"/>
                <w:color w:val="000000"/>
                <w:spacing w:val="8"/>
                <w:sz w:val="28"/>
                <w:szCs w:val="28"/>
                <w:highlight w:val="none"/>
                <w:lang w:val="en-US" w:eastAsia="zh-CN"/>
              </w:rPr>
              <w:t xml:space="preserve">  </w:t>
            </w:r>
            <w:r>
              <w:rPr>
                <w:rFonts w:hint="eastAsia" w:ascii="Times New Roman" w:hAnsi="Times New Roman" w:eastAsia="仿宋_GB2312" w:cs="仿宋_GB2312"/>
                <w:color w:val="000000"/>
                <w:spacing w:val="8"/>
                <w:sz w:val="28"/>
                <w:szCs w:val="28"/>
                <w:highlight w:val="none"/>
              </w:rPr>
              <w:t>柳</w:t>
            </w:r>
          </w:p>
        </w:tc>
        <w:tc>
          <w:tcPr>
            <w:tcW w:w="1274" w:type="dxa"/>
            <w:noWrap w:val="0"/>
            <w:vAlign w:val="top"/>
          </w:tcPr>
          <w:p w14:paraId="2F757B16">
            <w:pPr>
              <w:pStyle w:val="9"/>
              <w:keepNext w:val="0"/>
              <w:keepLines w:val="0"/>
              <w:pageBreakBefore w:val="0"/>
              <w:wordWrap/>
              <w:overflowPunct/>
              <w:topLinePunct w:val="0"/>
              <w:bidi w:val="0"/>
              <w:spacing w:before="140" w:line="560" w:lineRule="exact"/>
              <w:ind w:left="123" w:leftChars="0"/>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元/亩</w:t>
            </w:r>
          </w:p>
        </w:tc>
        <w:tc>
          <w:tcPr>
            <w:tcW w:w="1912" w:type="dxa"/>
            <w:noWrap w:val="0"/>
            <w:vAlign w:val="top"/>
          </w:tcPr>
          <w:p w14:paraId="6F1FF564">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280</w:t>
            </w:r>
          </w:p>
        </w:tc>
        <w:tc>
          <w:tcPr>
            <w:tcW w:w="2144" w:type="dxa"/>
            <w:noWrap w:val="0"/>
            <w:vAlign w:val="top"/>
          </w:tcPr>
          <w:p w14:paraId="74206E2F">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p>
        </w:tc>
      </w:tr>
      <w:tr w14:paraId="453E2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63" w:type="dxa"/>
            <w:noWrap w:val="0"/>
            <w:vAlign w:val="center"/>
          </w:tcPr>
          <w:p w14:paraId="1F2E1EC6">
            <w:pPr>
              <w:pStyle w:val="9"/>
              <w:keepNext w:val="0"/>
              <w:keepLines w:val="0"/>
              <w:pageBreakBefore w:val="0"/>
              <w:wordWrap/>
              <w:overflowPunct/>
              <w:topLinePunct w:val="0"/>
              <w:bidi w:val="0"/>
              <w:spacing w:before="212"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5"/>
                <w:sz w:val="28"/>
                <w:szCs w:val="28"/>
                <w:highlight w:val="none"/>
                <w:lang w:val="en-US" w:eastAsia="zh-CN"/>
              </w:rPr>
              <w:t>8</w:t>
            </w:r>
          </w:p>
        </w:tc>
        <w:tc>
          <w:tcPr>
            <w:tcW w:w="2604" w:type="dxa"/>
            <w:noWrap w:val="0"/>
            <w:vAlign w:val="top"/>
          </w:tcPr>
          <w:p w14:paraId="783EB168">
            <w:pPr>
              <w:pStyle w:val="9"/>
              <w:keepNext w:val="0"/>
              <w:keepLines w:val="0"/>
              <w:pageBreakBefore w:val="0"/>
              <w:wordWrap/>
              <w:overflowPunct/>
              <w:topLinePunct w:val="0"/>
              <w:bidi w:val="0"/>
              <w:spacing w:before="140"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5"/>
                <w:sz w:val="28"/>
                <w:szCs w:val="28"/>
                <w:highlight w:val="none"/>
              </w:rPr>
              <w:t>杨</w:t>
            </w:r>
            <w:r>
              <w:rPr>
                <w:rFonts w:hint="eastAsia" w:ascii="Times New Roman" w:hAnsi="Times New Roman" w:eastAsia="仿宋_GB2312" w:cs="仿宋_GB2312"/>
                <w:color w:val="000000"/>
                <w:spacing w:val="5"/>
                <w:sz w:val="28"/>
                <w:szCs w:val="28"/>
                <w:highlight w:val="none"/>
                <w:lang w:val="en-US" w:eastAsia="zh-CN"/>
              </w:rPr>
              <w:t xml:space="preserve">  </w:t>
            </w:r>
            <w:r>
              <w:rPr>
                <w:rFonts w:hint="eastAsia" w:ascii="Times New Roman" w:hAnsi="Times New Roman" w:eastAsia="仿宋_GB2312" w:cs="仿宋_GB2312"/>
                <w:color w:val="000000"/>
                <w:spacing w:val="5"/>
                <w:sz w:val="28"/>
                <w:szCs w:val="28"/>
                <w:highlight w:val="none"/>
              </w:rPr>
              <w:t>柴</w:t>
            </w:r>
          </w:p>
        </w:tc>
        <w:tc>
          <w:tcPr>
            <w:tcW w:w="1274" w:type="dxa"/>
            <w:noWrap w:val="0"/>
            <w:vAlign w:val="top"/>
          </w:tcPr>
          <w:p w14:paraId="537515FD">
            <w:pPr>
              <w:pStyle w:val="9"/>
              <w:keepNext w:val="0"/>
              <w:keepLines w:val="0"/>
              <w:pageBreakBefore w:val="0"/>
              <w:wordWrap/>
              <w:overflowPunct/>
              <w:topLinePunct w:val="0"/>
              <w:bidi w:val="0"/>
              <w:spacing w:before="141" w:line="560" w:lineRule="exact"/>
              <w:ind w:left="123" w:leftChars="0"/>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元/亩</w:t>
            </w:r>
          </w:p>
        </w:tc>
        <w:tc>
          <w:tcPr>
            <w:tcW w:w="1912" w:type="dxa"/>
            <w:noWrap w:val="0"/>
            <w:vAlign w:val="top"/>
          </w:tcPr>
          <w:p w14:paraId="1A4CEA97">
            <w:pPr>
              <w:pStyle w:val="9"/>
              <w:keepNext w:val="0"/>
              <w:keepLines w:val="0"/>
              <w:pageBreakBefore w:val="0"/>
              <w:wordWrap/>
              <w:overflowPunct/>
              <w:topLinePunct w:val="0"/>
              <w:bidi w:val="0"/>
              <w:spacing w:before="212"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280</w:t>
            </w:r>
          </w:p>
        </w:tc>
        <w:tc>
          <w:tcPr>
            <w:tcW w:w="2144" w:type="dxa"/>
            <w:noWrap w:val="0"/>
            <w:vAlign w:val="top"/>
          </w:tcPr>
          <w:p w14:paraId="4A0A7E3F">
            <w:pPr>
              <w:pStyle w:val="9"/>
              <w:keepNext w:val="0"/>
              <w:keepLines w:val="0"/>
              <w:pageBreakBefore w:val="0"/>
              <w:wordWrap/>
              <w:overflowPunct/>
              <w:topLinePunct w:val="0"/>
              <w:bidi w:val="0"/>
              <w:spacing w:before="212"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p>
        </w:tc>
      </w:tr>
      <w:tr w14:paraId="42855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63" w:type="dxa"/>
            <w:noWrap w:val="0"/>
            <w:vAlign w:val="center"/>
          </w:tcPr>
          <w:p w14:paraId="07DC7B8A">
            <w:pPr>
              <w:pStyle w:val="9"/>
              <w:keepNext w:val="0"/>
              <w:keepLines w:val="0"/>
              <w:pageBreakBefore w:val="0"/>
              <w:wordWrap/>
              <w:overflowPunct/>
              <w:topLinePunct w:val="0"/>
              <w:bidi w:val="0"/>
              <w:spacing w:before="212" w:line="560" w:lineRule="exact"/>
              <w:jc w:val="center"/>
              <w:rPr>
                <w:rFonts w:hint="default" w:ascii="Times New Roman" w:hAnsi="Times New Roman" w:eastAsia="仿宋_GB2312" w:cs="仿宋_GB2312"/>
                <w:color w:val="000000"/>
                <w:spacing w:val="-5"/>
                <w:sz w:val="28"/>
                <w:szCs w:val="28"/>
                <w:highlight w:val="none"/>
                <w:lang w:val="en-US" w:eastAsia="zh-CN"/>
              </w:rPr>
            </w:pPr>
            <w:r>
              <w:rPr>
                <w:rFonts w:hint="eastAsia" w:ascii="Times New Roman" w:hAnsi="Times New Roman" w:eastAsia="仿宋_GB2312" w:cs="仿宋_GB2312"/>
                <w:color w:val="000000"/>
                <w:spacing w:val="-5"/>
                <w:sz w:val="28"/>
                <w:szCs w:val="28"/>
                <w:highlight w:val="none"/>
                <w:lang w:val="en-US" w:eastAsia="zh-CN"/>
              </w:rPr>
              <w:t>9</w:t>
            </w:r>
          </w:p>
        </w:tc>
        <w:tc>
          <w:tcPr>
            <w:tcW w:w="2604" w:type="dxa"/>
            <w:noWrap w:val="0"/>
            <w:vAlign w:val="top"/>
          </w:tcPr>
          <w:p w14:paraId="52CD5970">
            <w:pPr>
              <w:pStyle w:val="9"/>
              <w:keepNext w:val="0"/>
              <w:keepLines w:val="0"/>
              <w:pageBreakBefore w:val="0"/>
              <w:wordWrap/>
              <w:overflowPunct/>
              <w:topLinePunct w:val="0"/>
              <w:bidi w:val="0"/>
              <w:spacing w:before="140" w:line="560" w:lineRule="exact"/>
              <w:jc w:val="center"/>
              <w:rPr>
                <w:rFonts w:hint="eastAsia" w:ascii="Times New Roman" w:hAnsi="Times New Roman" w:eastAsia="仿宋_GB2312" w:cs="仿宋_GB2312"/>
                <w:color w:val="000000"/>
                <w:spacing w:val="5"/>
                <w:sz w:val="28"/>
                <w:szCs w:val="28"/>
                <w:highlight w:val="none"/>
                <w:lang w:val="en-US" w:eastAsia="zh-CN"/>
              </w:rPr>
            </w:pPr>
            <w:r>
              <w:rPr>
                <w:rFonts w:hint="eastAsia" w:ascii="Times New Roman" w:hAnsi="Times New Roman" w:eastAsia="仿宋_GB2312" w:cs="仿宋_GB2312"/>
                <w:color w:val="000000"/>
                <w:spacing w:val="5"/>
                <w:sz w:val="28"/>
                <w:szCs w:val="28"/>
                <w:highlight w:val="none"/>
                <w:lang w:val="en-US" w:eastAsia="zh-CN"/>
              </w:rPr>
              <w:t>柠  条</w:t>
            </w:r>
          </w:p>
        </w:tc>
        <w:tc>
          <w:tcPr>
            <w:tcW w:w="1274" w:type="dxa"/>
            <w:noWrap w:val="0"/>
            <w:vAlign w:val="top"/>
          </w:tcPr>
          <w:p w14:paraId="2728D8D1">
            <w:pPr>
              <w:pStyle w:val="9"/>
              <w:keepNext w:val="0"/>
              <w:keepLines w:val="0"/>
              <w:pageBreakBefore w:val="0"/>
              <w:wordWrap/>
              <w:overflowPunct/>
              <w:topLinePunct w:val="0"/>
              <w:bidi w:val="0"/>
              <w:spacing w:before="141" w:line="560" w:lineRule="exact"/>
              <w:ind w:left="123" w:leftChars="0"/>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元/亩</w:t>
            </w:r>
          </w:p>
        </w:tc>
        <w:tc>
          <w:tcPr>
            <w:tcW w:w="1912" w:type="dxa"/>
            <w:noWrap w:val="0"/>
            <w:vAlign w:val="top"/>
          </w:tcPr>
          <w:p w14:paraId="472DE854">
            <w:pPr>
              <w:pStyle w:val="9"/>
              <w:keepNext w:val="0"/>
              <w:keepLines w:val="0"/>
              <w:pageBreakBefore w:val="0"/>
              <w:wordWrap/>
              <w:overflowPunct/>
              <w:topLinePunct w:val="0"/>
              <w:bidi w:val="0"/>
              <w:spacing w:before="212"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280</w:t>
            </w:r>
          </w:p>
        </w:tc>
        <w:tc>
          <w:tcPr>
            <w:tcW w:w="2144" w:type="dxa"/>
            <w:noWrap w:val="0"/>
            <w:vAlign w:val="top"/>
          </w:tcPr>
          <w:p w14:paraId="12E34A9D">
            <w:pPr>
              <w:pStyle w:val="9"/>
              <w:keepNext w:val="0"/>
              <w:keepLines w:val="0"/>
              <w:pageBreakBefore w:val="0"/>
              <w:wordWrap/>
              <w:overflowPunct/>
              <w:topLinePunct w:val="0"/>
              <w:bidi w:val="0"/>
              <w:spacing w:before="212"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p>
        </w:tc>
      </w:tr>
      <w:tr w14:paraId="34DED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763" w:type="dxa"/>
            <w:noWrap w:val="0"/>
            <w:vAlign w:val="center"/>
          </w:tcPr>
          <w:p w14:paraId="3FAF5CEE">
            <w:pPr>
              <w:pStyle w:val="9"/>
              <w:keepNext w:val="0"/>
              <w:keepLines w:val="0"/>
              <w:pageBreakBefore w:val="0"/>
              <w:wordWrap/>
              <w:overflowPunct/>
              <w:topLinePunct w:val="0"/>
              <w:bidi w:val="0"/>
              <w:spacing w:before="212" w:line="560" w:lineRule="exact"/>
              <w:jc w:val="center"/>
              <w:rPr>
                <w:rFonts w:hint="default" w:ascii="Times New Roman" w:hAnsi="Times New Roman" w:eastAsia="仿宋_GB2312" w:cs="仿宋_GB2312"/>
                <w:color w:val="000000"/>
                <w:spacing w:val="-5"/>
                <w:sz w:val="28"/>
                <w:szCs w:val="28"/>
                <w:highlight w:val="none"/>
                <w:lang w:val="en-US" w:eastAsia="zh-CN"/>
              </w:rPr>
            </w:pPr>
            <w:r>
              <w:rPr>
                <w:rFonts w:hint="eastAsia" w:ascii="Times New Roman" w:hAnsi="Times New Roman" w:eastAsia="仿宋_GB2312" w:cs="仿宋_GB2312"/>
                <w:color w:val="000000"/>
                <w:spacing w:val="-5"/>
                <w:sz w:val="28"/>
                <w:szCs w:val="28"/>
                <w:highlight w:val="none"/>
                <w:lang w:val="en-US" w:eastAsia="zh-CN"/>
              </w:rPr>
              <w:t>10</w:t>
            </w:r>
          </w:p>
        </w:tc>
        <w:tc>
          <w:tcPr>
            <w:tcW w:w="2604" w:type="dxa"/>
            <w:noWrap w:val="0"/>
            <w:vAlign w:val="center"/>
          </w:tcPr>
          <w:p w14:paraId="505929C9">
            <w:pPr>
              <w:pStyle w:val="9"/>
              <w:keepNext w:val="0"/>
              <w:keepLines w:val="0"/>
              <w:pageBreakBefore w:val="0"/>
              <w:wordWrap/>
              <w:overflowPunct/>
              <w:topLinePunct w:val="0"/>
              <w:bidi w:val="0"/>
              <w:spacing w:before="140" w:line="560" w:lineRule="exact"/>
              <w:jc w:val="center"/>
              <w:rPr>
                <w:rFonts w:hint="eastAsia" w:ascii="Times New Roman" w:hAnsi="Times New Roman" w:eastAsia="仿宋_GB2312" w:cs="仿宋_GB2312"/>
                <w:color w:val="000000"/>
                <w:spacing w:val="5"/>
                <w:sz w:val="28"/>
                <w:szCs w:val="28"/>
                <w:highlight w:val="none"/>
                <w:lang w:val="en-US" w:eastAsia="zh-CN"/>
              </w:rPr>
            </w:pPr>
            <w:r>
              <w:rPr>
                <w:rFonts w:hint="eastAsia" w:ascii="Times New Roman" w:hAnsi="Times New Roman" w:eastAsia="仿宋_GB2312" w:cs="仿宋_GB2312"/>
                <w:color w:val="000000"/>
                <w:spacing w:val="5"/>
                <w:sz w:val="28"/>
                <w:szCs w:val="28"/>
                <w:highlight w:val="none"/>
                <w:lang w:val="en-US" w:eastAsia="zh-CN"/>
              </w:rPr>
              <w:t>藏锦鸡儿</w:t>
            </w:r>
          </w:p>
        </w:tc>
        <w:tc>
          <w:tcPr>
            <w:tcW w:w="1274" w:type="dxa"/>
            <w:noWrap w:val="0"/>
            <w:vAlign w:val="top"/>
          </w:tcPr>
          <w:p w14:paraId="25C4617A">
            <w:pPr>
              <w:pStyle w:val="9"/>
              <w:keepNext w:val="0"/>
              <w:keepLines w:val="0"/>
              <w:pageBreakBefore w:val="0"/>
              <w:wordWrap/>
              <w:overflowPunct/>
              <w:topLinePunct w:val="0"/>
              <w:bidi w:val="0"/>
              <w:spacing w:before="141" w:line="560" w:lineRule="exact"/>
              <w:ind w:left="123" w:leftChars="0"/>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元/亩</w:t>
            </w:r>
          </w:p>
        </w:tc>
        <w:tc>
          <w:tcPr>
            <w:tcW w:w="1912" w:type="dxa"/>
            <w:noWrap w:val="0"/>
            <w:vAlign w:val="top"/>
          </w:tcPr>
          <w:p w14:paraId="35F6B06C">
            <w:pPr>
              <w:pStyle w:val="9"/>
              <w:keepNext w:val="0"/>
              <w:keepLines w:val="0"/>
              <w:pageBreakBefore w:val="0"/>
              <w:wordWrap/>
              <w:overflowPunct/>
              <w:topLinePunct w:val="0"/>
              <w:bidi w:val="0"/>
              <w:spacing w:before="212"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r>
              <w:rPr>
                <w:rFonts w:hint="eastAsia" w:ascii="Times New Roman" w:hAnsi="Times New Roman" w:eastAsia="仿宋_GB2312" w:cs="仿宋_GB2312"/>
                <w:color w:val="000000"/>
                <w:spacing w:val="-4"/>
                <w:sz w:val="28"/>
                <w:szCs w:val="28"/>
                <w:highlight w:val="none"/>
              </w:rPr>
              <w:t>280</w:t>
            </w:r>
          </w:p>
        </w:tc>
        <w:tc>
          <w:tcPr>
            <w:tcW w:w="2144" w:type="dxa"/>
            <w:noWrap w:val="0"/>
            <w:vAlign w:val="top"/>
          </w:tcPr>
          <w:p w14:paraId="02F160BA">
            <w:pPr>
              <w:pStyle w:val="9"/>
              <w:keepNext w:val="0"/>
              <w:keepLines w:val="0"/>
              <w:pageBreakBefore w:val="0"/>
              <w:wordWrap/>
              <w:overflowPunct/>
              <w:topLinePunct w:val="0"/>
              <w:bidi w:val="0"/>
              <w:spacing w:before="211" w:line="560" w:lineRule="exact"/>
              <w:jc w:val="center"/>
              <w:rPr>
                <w:rFonts w:hint="eastAsia" w:ascii="Times New Roman" w:hAnsi="Times New Roman" w:eastAsia="仿宋_GB2312" w:cs="仿宋_GB2312"/>
                <w:snapToGrid w:val="0"/>
                <w:color w:val="000000"/>
                <w:kern w:val="0"/>
                <w:sz w:val="28"/>
                <w:szCs w:val="28"/>
                <w:highlight w:val="none"/>
                <w:lang w:val="en-US" w:eastAsia="en-US" w:bidi="ar-SA"/>
              </w:rPr>
            </w:pPr>
          </w:p>
        </w:tc>
      </w:tr>
    </w:tbl>
    <w:p w14:paraId="23323E19">
      <w:pPr>
        <w:keepNext w:val="0"/>
        <w:keepLines w:val="0"/>
        <w:pageBreakBefore w:val="0"/>
        <w:wordWrap/>
        <w:overflowPunct/>
        <w:topLinePunct w:val="0"/>
        <w:bidi w:val="0"/>
        <w:spacing w:before="90" w:line="560" w:lineRule="exact"/>
        <w:ind w:firstLine="620" w:firstLineChars="200"/>
        <w:jc w:val="both"/>
        <w:rPr>
          <w:rFonts w:ascii="Times New Roman" w:hAnsi="Times New Roman"/>
          <w:color w:val="000000"/>
          <w:highlight w:val="none"/>
        </w:rPr>
      </w:pPr>
      <w:r>
        <w:rPr>
          <w:rFonts w:hint="eastAsia" w:ascii="Times New Roman" w:hAnsi="Times New Roman" w:eastAsia="黑体" w:cs="黑体"/>
          <w:b w:val="0"/>
          <w:bCs w:val="0"/>
          <w:color w:val="000000"/>
          <w:spacing w:val="-5"/>
          <w:sz w:val="32"/>
          <w:szCs w:val="32"/>
          <w:highlight w:val="none"/>
          <w:lang w:val="en-US" w:eastAsia="zh-CN"/>
        </w:rPr>
        <w:t>二、果树、梨树、李子树、桃、杏、山桃、山杏、枣树</w:t>
      </w:r>
    </w:p>
    <w:tbl>
      <w:tblPr>
        <w:tblStyle w:val="6"/>
        <w:tblW w:w="87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57"/>
        <w:gridCol w:w="1643"/>
        <w:gridCol w:w="1643"/>
        <w:gridCol w:w="1502"/>
        <w:gridCol w:w="1415"/>
        <w:gridCol w:w="1257"/>
      </w:tblGrid>
      <w:tr w14:paraId="6D5B8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1257" w:type="dxa"/>
            <w:tcBorders>
              <w:top w:val="single" w:color="000000" w:sz="4" w:space="0"/>
              <w:left w:val="single" w:color="000000" w:sz="4" w:space="0"/>
              <w:bottom w:val="single" w:color="000000" w:sz="4" w:space="0"/>
              <w:right w:val="single" w:color="000000" w:sz="4" w:space="0"/>
            </w:tcBorders>
            <w:noWrap/>
            <w:vAlign w:val="center"/>
          </w:tcPr>
          <w:p w14:paraId="3C3A2DA3">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黑体" w:cs="黑体"/>
                <w:i w:val="0"/>
                <w:iCs w:val="0"/>
                <w:color w:val="000000"/>
                <w:sz w:val="32"/>
                <w:szCs w:val="32"/>
                <w:highlight w:val="none"/>
                <w:u w:val="none"/>
              </w:rPr>
            </w:pPr>
            <w:r>
              <w:rPr>
                <w:rFonts w:hint="eastAsia" w:ascii="Times New Roman" w:hAnsi="Times New Roman" w:eastAsia="黑体" w:cs="黑体"/>
                <w:i w:val="0"/>
                <w:iCs w:val="0"/>
                <w:snapToGrid w:val="0"/>
                <w:color w:val="000000"/>
                <w:kern w:val="0"/>
                <w:sz w:val="32"/>
                <w:szCs w:val="32"/>
                <w:highlight w:val="none"/>
                <w:u w:val="none"/>
                <w:lang w:val="en-US" w:eastAsia="zh-CN" w:bidi="ar"/>
              </w:rPr>
              <w:t>品种</w:t>
            </w:r>
          </w:p>
        </w:tc>
        <w:tc>
          <w:tcPr>
            <w:tcW w:w="1643" w:type="dxa"/>
            <w:tcBorders>
              <w:top w:val="single" w:color="000000" w:sz="4" w:space="0"/>
              <w:left w:val="single" w:color="000000" w:sz="4" w:space="0"/>
              <w:bottom w:val="single" w:color="000000" w:sz="4" w:space="0"/>
              <w:right w:val="single" w:color="000000" w:sz="4" w:space="0"/>
            </w:tcBorders>
            <w:noWrap/>
            <w:vAlign w:val="center"/>
          </w:tcPr>
          <w:p w14:paraId="628D1B22">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黑体" w:cs="黑体"/>
                <w:i w:val="0"/>
                <w:iCs w:val="0"/>
                <w:color w:val="000000"/>
                <w:sz w:val="32"/>
                <w:szCs w:val="32"/>
                <w:highlight w:val="none"/>
                <w:u w:val="none"/>
              </w:rPr>
            </w:pPr>
            <w:r>
              <w:rPr>
                <w:rFonts w:hint="eastAsia" w:ascii="Times New Roman" w:hAnsi="Times New Roman" w:eastAsia="黑体" w:cs="黑体"/>
                <w:i w:val="0"/>
                <w:iCs w:val="0"/>
                <w:snapToGrid w:val="0"/>
                <w:color w:val="000000"/>
                <w:kern w:val="0"/>
                <w:sz w:val="32"/>
                <w:szCs w:val="32"/>
                <w:highlight w:val="none"/>
                <w:u w:val="none"/>
                <w:lang w:val="en-US" w:eastAsia="zh-CN" w:bidi="ar"/>
              </w:rPr>
              <w:t>根径 (cm)</w:t>
            </w:r>
          </w:p>
        </w:tc>
        <w:tc>
          <w:tcPr>
            <w:tcW w:w="1643" w:type="dxa"/>
            <w:tcBorders>
              <w:top w:val="single" w:color="000000" w:sz="4" w:space="0"/>
              <w:left w:val="single" w:color="000000" w:sz="4" w:space="0"/>
              <w:bottom w:val="single" w:color="000000" w:sz="4" w:space="0"/>
              <w:right w:val="single" w:color="000000" w:sz="4" w:space="0"/>
            </w:tcBorders>
            <w:noWrap/>
            <w:vAlign w:val="center"/>
          </w:tcPr>
          <w:p w14:paraId="4940BBF9">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黑体" w:cs="黑体"/>
                <w:i w:val="0"/>
                <w:iCs w:val="0"/>
                <w:color w:val="000000"/>
                <w:sz w:val="32"/>
                <w:szCs w:val="32"/>
                <w:highlight w:val="none"/>
                <w:u w:val="none"/>
              </w:rPr>
            </w:pPr>
            <w:r>
              <w:rPr>
                <w:rFonts w:hint="eastAsia" w:ascii="Times New Roman" w:hAnsi="Times New Roman" w:eastAsia="黑体" w:cs="黑体"/>
                <w:i w:val="0"/>
                <w:iCs w:val="0"/>
                <w:snapToGrid w:val="0"/>
                <w:color w:val="000000"/>
                <w:kern w:val="0"/>
                <w:sz w:val="32"/>
                <w:szCs w:val="32"/>
                <w:highlight w:val="none"/>
                <w:u w:val="none"/>
                <w:lang w:val="en-US" w:eastAsia="zh-CN" w:bidi="ar"/>
              </w:rPr>
              <w:t>冠幅 (m)</w:t>
            </w:r>
          </w:p>
        </w:tc>
        <w:tc>
          <w:tcPr>
            <w:tcW w:w="1502" w:type="dxa"/>
            <w:tcBorders>
              <w:top w:val="single" w:color="000000" w:sz="4" w:space="0"/>
              <w:left w:val="single" w:color="000000" w:sz="4" w:space="0"/>
              <w:bottom w:val="single" w:color="000000" w:sz="4" w:space="0"/>
              <w:right w:val="single" w:color="000000" w:sz="4" w:space="0"/>
            </w:tcBorders>
            <w:noWrap w:val="0"/>
            <w:vAlign w:val="center"/>
          </w:tcPr>
          <w:p w14:paraId="0D60BF28">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黑体" w:cs="黑体"/>
                <w:i w:val="0"/>
                <w:iCs w:val="0"/>
                <w:color w:val="000000"/>
                <w:sz w:val="32"/>
                <w:szCs w:val="32"/>
                <w:highlight w:val="none"/>
                <w:u w:val="none"/>
              </w:rPr>
            </w:pPr>
            <w:r>
              <w:rPr>
                <w:rFonts w:hint="eastAsia" w:ascii="Times New Roman" w:hAnsi="Times New Roman" w:eastAsia="黑体" w:cs="黑体"/>
                <w:i w:val="0"/>
                <w:iCs w:val="0"/>
                <w:snapToGrid w:val="0"/>
                <w:color w:val="000000"/>
                <w:kern w:val="0"/>
                <w:sz w:val="32"/>
                <w:szCs w:val="32"/>
                <w:highlight w:val="none"/>
                <w:u w:val="none"/>
                <w:lang w:val="en-US" w:eastAsia="zh-CN" w:bidi="ar"/>
              </w:rPr>
              <w:t>最大亩载量(株)</w:t>
            </w:r>
          </w:p>
        </w:tc>
        <w:tc>
          <w:tcPr>
            <w:tcW w:w="1415" w:type="dxa"/>
            <w:tcBorders>
              <w:top w:val="single" w:color="000000" w:sz="4" w:space="0"/>
              <w:left w:val="single" w:color="000000" w:sz="4" w:space="0"/>
              <w:bottom w:val="single" w:color="000000" w:sz="4" w:space="0"/>
              <w:right w:val="single" w:color="000000" w:sz="4" w:space="0"/>
            </w:tcBorders>
            <w:noWrap w:val="0"/>
            <w:vAlign w:val="center"/>
          </w:tcPr>
          <w:p w14:paraId="54FDB574">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黑体" w:cs="黑体"/>
                <w:i w:val="0"/>
                <w:iCs w:val="0"/>
                <w:color w:val="000000"/>
                <w:sz w:val="32"/>
                <w:szCs w:val="32"/>
                <w:highlight w:val="none"/>
                <w:u w:val="none"/>
              </w:rPr>
            </w:pPr>
            <w:r>
              <w:rPr>
                <w:rFonts w:hint="eastAsia" w:ascii="Times New Roman" w:hAnsi="Times New Roman" w:eastAsia="黑体" w:cs="黑体"/>
                <w:i w:val="0"/>
                <w:iCs w:val="0"/>
                <w:snapToGrid w:val="0"/>
                <w:color w:val="000000"/>
                <w:kern w:val="0"/>
                <w:sz w:val="32"/>
                <w:szCs w:val="32"/>
                <w:highlight w:val="none"/>
                <w:u w:val="none"/>
                <w:lang w:val="en-US" w:eastAsia="zh-CN" w:bidi="ar"/>
              </w:rPr>
              <w:t>参考价</w:t>
            </w:r>
            <w:r>
              <w:rPr>
                <w:rFonts w:hint="eastAsia" w:ascii="Times New Roman" w:hAnsi="Times New Roman" w:eastAsia="黑体" w:cs="黑体"/>
                <w:i w:val="0"/>
                <w:iCs w:val="0"/>
                <w:snapToGrid w:val="0"/>
                <w:color w:val="000000"/>
                <w:kern w:val="0"/>
                <w:sz w:val="32"/>
                <w:szCs w:val="32"/>
                <w:highlight w:val="none"/>
                <w:u w:val="none"/>
                <w:lang w:val="en-US" w:eastAsia="zh-CN" w:bidi="ar"/>
              </w:rPr>
              <w:br w:type="textWrapping"/>
            </w:r>
            <w:r>
              <w:rPr>
                <w:rFonts w:hint="eastAsia" w:ascii="Times New Roman" w:hAnsi="Times New Roman" w:eastAsia="黑体" w:cs="黑体"/>
                <w:i w:val="0"/>
                <w:iCs w:val="0"/>
                <w:snapToGrid w:val="0"/>
                <w:color w:val="000000"/>
                <w:kern w:val="0"/>
                <w:sz w:val="32"/>
                <w:szCs w:val="32"/>
                <w:highlight w:val="none"/>
                <w:u w:val="none"/>
                <w:lang w:val="en-US" w:eastAsia="zh-CN" w:bidi="ar"/>
              </w:rPr>
              <w:t>(元)</w:t>
            </w:r>
          </w:p>
        </w:tc>
        <w:tc>
          <w:tcPr>
            <w:tcW w:w="1257" w:type="dxa"/>
            <w:tcBorders>
              <w:top w:val="single" w:color="000000" w:sz="4" w:space="0"/>
              <w:left w:val="single" w:color="000000" w:sz="4" w:space="0"/>
              <w:bottom w:val="single" w:color="000000" w:sz="4" w:space="0"/>
              <w:right w:val="single" w:color="000000" w:sz="4" w:space="0"/>
            </w:tcBorders>
            <w:noWrap/>
            <w:vAlign w:val="center"/>
          </w:tcPr>
          <w:p w14:paraId="13094BE5">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黑体" w:cs="黑体"/>
                <w:i w:val="0"/>
                <w:iCs w:val="0"/>
                <w:color w:val="000000"/>
                <w:sz w:val="32"/>
                <w:szCs w:val="32"/>
                <w:highlight w:val="none"/>
                <w:u w:val="none"/>
              </w:rPr>
            </w:pPr>
            <w:r>
              <w:rPr>
                <w:rFonts w:hint="eastAsia" w:ascii="Times New Roman" w:hAnsi="Times New Roman" w:eastAsia="黑体" w:cs="黑体"/>
                <w:i w:val="0"/>
                <w:iCs w:val="0"/>
                <w:snapToGrid w:val="0"/>
                <w:color w:val="000000"/>
                <w:kern w:val="0"/>
                <w:sz w:val="32"/>
                <w:szCs w:val="32"/>
                <w:highlight w:val="none"/>
                <w:u w:val="none"/>
                <w:lang w:val="en-US" w:eastAsia="zh-CN" w:bidi="ar"/>
              </w:rPr>
              <w:t>备注</w:t>
            </w:r>
          </w:p>
        </w:tc>
      </w:tr>
      <w:tr w14:paraId="1C09B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23E8AE">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果树</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 xml:space="preserve">梨树  </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李子树</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桃</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杏</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 xml:space="preserve">山桃 </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 xml:space="preserve">山杏 </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枣树</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6F9067">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1.9以下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BE73CA">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D357C2">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06FF2E">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F2C09E">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42551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364A9A">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424A96">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319090">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7DFC7A">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CDDB2C">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A319C5">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68078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1BBD1">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C4ED83">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9F082A">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475C81">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DD328D">
            <w:pPr>
              <w:keepNext w:val="0"/>
              <w:keepLines w:val="0"/>
              <w:pageBreakBefore w:val="0"/>
              <w:widowControl/>
              <w:suppressLineNumbers w:val="0"/>
              <w:wordWrap/>
              <w:overflowPunct/>
              <w:topLinePunct w:val="0"/>
              <w:bidi w:val="0"/>
              <w:spacing w:line="560" w:lineRule="exact"/>
              <w:jc w:val="center"/>
              <w:textAlignment w:val="center"/>
              <w:rPr>
                <w:rFonts w:hint="default" w:ascii="Times New Roman" w:hAnsi="Times New Roman" w:eastAsia="仿宋_GB2312" w:cs="仿宋_GB2312"/>
                <w:i w:val="0"/>
                <w:iCs w:val="0"/>
                <w:color w:val="000000"/>
                <w:sz w:val="28"/>
                <w:szCs w:val="28"/>
                <w:highlight w:val="none"/>
                <w:u w:val="none"/>
                <w:lang w:val="en-US"/>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7AEEB3">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37BB4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79F428">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168A6B">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6-7.9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6B4F20">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BB9F7F">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5F0C4A">
            <w:pPr>
              <w:keepNext w:val="0"/>
              <w:keepLines w:val="0"/>
              <w:pageBreakBefore w:val="0"/>
              <w:widowControl/>
              <w:suppressLineNumbers w:val="0"/>
              <w:wordWrap/>
              <w:overflowPunct/>
              <w:topLinePunct w:val="0"/>
              <w:bidi w:val="0"/>
              <w:spacing w:line="560" w:lineRule="exact"/>
              <w:jc w:val="center"/>
              <w:textAlignment w:val="center"/>
              <w:rPr>
                <w:rFonts w:hint="default" w:ascii="Times New Roman" w:hAnsi="Times New Roman" w:eastAsia="仿宋_GB2312" w:cs="仿宋_GB2312"/>
                <w:i w:val="0"/>
                <w:iCs w:val="0"/>
                <w:color w:val="000000"/>
                <w:sz w:val="28"/>
                <w:szCs w:val="28"/>
                <w:highlight w:val="none"/>
                <w:u w:val="none"/>
                <w:lang w:val="en-US"/>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88E2E0">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0C0F7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C3F3FC">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A24AF8">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8-9.9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E2BB0D">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0F2D9A">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7A946A">
            <w:pPr>
              <w:keepNext w:val="0"/>
              <w:keepLines w:val="0"/>
              <w:pageBreakBefore w:val="0"/>
              <w:widowControl/>
              <w:suppressLineNumbers w:val="0"/>
              <w:wordWrap/>
              <w:overflowPunct/>
              <w:topLinePunct w:val="0"/>
              <w:bidi w:val="0"/>
              <w:spacing w:line="560" w:lineRule="exact"/>
              <w:jc w:val="center"/>
              <w:textAlignment w:val="center"/>
              <w:rPr>
                <w:rFonts w:hint="default" w:ascii="Times New Roman" w:hAnsi="Times New Roman" w:eastAsia="仿宋_GB2312" w:cs="仿宋_GB2312"/>
                <w:i w:val="0"/>
                <w:iCs w:val="0"/>
                <w:color w:val="000000"/>
                <w:sz w:val="28"/>
                <w:szCs w:val="28"/>
                <w:highlight w:val="none"/>
                <w:u w:val="none"/>
                <w:lang w:val="en-US"/>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9F3708">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1C908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F8CA75">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D0F177">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10-11.9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8CCAA7">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3以上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1E5D2A">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36DD40">
            <w:pPr>
              <w:keepNext w:val="0"/>
              <w:keepLines w:val="0"/>
              <w:pageBreakBefore w:val="0"/>
              <w:widowControl/>
              <w:suppressLineNumbers w:val="0"/>
              <w:wordWrap/>
              <w:overflowPunct/>
              <w:topLinePunct w:val="0"/>
              <w:bidi w:val="0"/>
              <w:spacing w:line="560" w:lineRule="exact"/>
              <w:jc w:val="center"/>
              <w:textAlignment w:val="center"/>
              <w:rPr>
                <w:rFonts w:hint="default" w:ascii="Times New Roman" w:hAnsi="Times New Roman" w:eastAsia="仿宋_GB2312" w:cs="仿宋_GB2312"/>
                <w:i w:val="0"/>
                <w:iCs w:val="0"/>
                <w:color w:val="000000"/>
                <w:sz w:val="28"/>
                <w:szCs w:val="28"/>
                <w:highlight w:val="none"/>
                <w:u w:val="none"/>
                <w:lang w:val="en-US"/>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7F28D8">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523C7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F416A">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000C67">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12-13.9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F2B2D2">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3.5以上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0E2BA8">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682A17">
            <w:pPr>
              <w:keepNext w:val="0"/>
              <w:keepLines w:val="0"/>
              <w:pageBreakBefore w:val="0"/>
              <w:widowControl/>
              <w:suppressLineNumbers w:val="0"/>
              <w:wordWrap/>
              <w:overflowPunct/>
              <w:topLinePunct w:val="0"/>
              <w:bidi w:val="0"/>
              <w:spacing w:line="560" w:lineRule="exact"/>
              <w:jc w:val="center"/>
              <w:textAlignment w:val="center"/>
              <w:rPr>
                <w:rFonts w:hint="default" w:ascii="Times New Roman" w:hAnsi="Times New Roman" w:eastAsia="仿宋_GB2312" w:cs="仿宋_GB2312"/>
                <w:i w:val="0"/>
                <w:iCs w:val="0"/>
                <w:color w:val="000000"/>
                <w:sz w:val="28"/>
                <w:szCs w:val="28"/>
                <w:highlight w:val="none"/>
                <w:u w:val="none"/>
                <w:lang w:val="en-US"/>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3813DD">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2A567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DD3FDC">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7AD497">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14以上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65120A">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4以上</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ACEF36">
            <w:pPr>
              <w:keepNext w:val="0"/>
              <w:keepLines w:val="0"/>
              <w:pageBreakBefore w:val="0"/>
              <w:widowControl/>
              <w:suppressLineNumbers w:val="0"/>
              <w:wordWrap/>
              <w:overflowPunct/>
              <w:topLinePunct w:val="0"/>
              <w:bidi w:val="0"/>
              <w:spacing w:line="560" w:lineRule="exact"/>
              <w:jc w:val="center"/>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34769D">
            <w:pPr>
              <w:keepNext w:val="0"/>
              <w:keepLines w:val="0"/>
              <w:pageBreakBefore w:val="0"/>
              <w:widowControl/>
              <w:suppressLineNumbers w:val="0"/>
              <w:wordWrap/>
              <w:overflowPunct/>
              <w:topLinePunct w:val="0"/>
              <w:bidi w:val="0"/>
              <w:spacing w:line="560" w:lineRule="exact"/>
              <w:jc w:val="center"/>
              <w:textAlignment w:val="center"/>
              <w:rPr>
                <w:rFonts w:hint="default" w:ascii="Times New Roman" w:hAnsi="Times New Roman" w:eastAsia="仿宋_GB2312" w:cs="仿宋_GB2312"/>
                <w:i w:val="0"/>
                <w:iCs w:val="0"/>
                <w:color w:val="000000"/>
                <w:sz w:val="28"/>
                <w:szCs w:val="28"/>
                <w:highlight w:val="none"/>
                <w:u w:val="none"/>
                <w:lang w:val="en-US"/>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2846C6">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snapToGrid w:val="0"/>
                <w:color w:val="000000"/>
                <w:kern w:val="0"/>
                <w:sz w:val="28"/>
                <w:szCs w:val="28"/>
                <w:highlight w:val="none"/>
                <w:u w:val="none"/>
                <w:lang w:val="en-US" w:eastAsia="zh-CN" w:bidi="ar-SA"/>
              </w:rPr>
            </w:pPr>
          </w:p>
        </w:tc>
      </w:tr>
      <w:tr w14:paraId="25BBF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7" w:hRule="atLeast"/>
        </w:trPr>
        <w:tc>
          <w:tcPr>
            <w:tcW w:w="12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BEE255">
            <w:pPr>
              <w:keepNext w:val="0"/>
              <w:keepLines w:val="0"/>
              <w:pageBreakBefore w:val="0"/>
              <w:wordWrap/>
              <w:overflowPunct/>
              <w:topLinePunct w:val="0"/>
              <w:bidi w:val="0"/>
              <w:spacing w:line="560" w:lineRule="exact"/>
              <w:jc w:val="center"/>
              <w:rPr>
                <w:rFonts w:hint="eastAsia" w:ascii="Times New Roman" w:hAnsi="Times New Roman" w:eastAsia="仿宋_GB2312" w:cs="仿宋_GB2312"/>
                <w:i w:val="0"/>
                <w:iCs w:val="0"/>
                <w:color w:val="000000"/>
                <w:sz w:val="28"/>
                <w:szCs w:val="28"/>
                <w:highlight w:val="none"/>
                <w:u w:val="none"/>
              </w:rPr>
            </w:pPr>
          </w:p>
        </w:tc>
        <w:tc>
          <w:tcPr>
            <w:tcW w:w="7460" w:type="dxa"/>
            <w:gridSpan w:val="5"/>
            <w:tcBorders>
              <w:top w:val="single" w:color="000000" w:sz="4" w:space="0"/>
              <w:left w:val="single" w:color="000000" w:sz="4" w:space="0"/>
              <w:bottom w:val="single" w:color="000000" w:sz="4" w:space="0"/>
              <w:right w:val="single" w:color="000000" w:sz="4" w:space="0"/>
            </w:tcBorders>
            <w:noWrap w:val="0"/>
            <w:vAlign w:val="center"/>
          </w:tcPr>
          <w:p w14:paraId="4AC74CE7">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jc w:val="left"/>
              <w:textAlignment w:val="center"/>
              <w:rPr>
                <w:rFonts w:hint="eastAsia" w:ascii="Times New Roman" w:hAnsi="Times New Roman" w:eastAsia="仿宋_GB2312" w:cs="仿宋_GB2312"/>
                <w:b/>
                <w:bCs/>
                <w:i w:val="0"/>
                <w:iCs w:val="0"/>
                <w:snapToGrid w:val="0"/>
                <w:color w:val="000000"/>
                <w:kern w:val="0"/>
                <w:sz w:val="28"/>
                <w:szCs w:val="28"/>
                <w:highlight w:val="none"/>
                <w:u w:val="none"/>
                <w:lang w:val="en-US" w:eastAsia="zh-CN" w:bidi="ar"/>
              </w:rPr>
            </w:pPr>
            <w:r>
              <w:rPr>
                <w:rFonts w:hint="eastAsia" w:ascii="Times New Roman" w:hAnsi="Times New Roman" w:eastAsia="仿宋_GB2312" w:cs="仿宋_GB2312"/>
                <w:b/>
                <w:bCs/>
                <w:i w:val="0"/>
                <w:iCs w:val="0"/>
                <w:snapToGrid w:val="0"/>
                <w:color w:val="000000"/>
                <w:kern w:val="0"/>
                <w:sz w:val="28"/>
                <w:szCs w:val="28"/>
                <w:highlight w:val="none"/>
                <w:u w:val="none"/>
                <w:lang w:val="en-US" w:eastAsia="zh-CN" w:bidi="ar"/>
              </w:rPr>
              <w:t>说明：</w:t>
            </w:r>
          </w:p>
          <w:p w14:paraId="6EA2242E">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jc w:val="left"/>
              <w:textAlignment w:val="center"/>
              <w:rPr>
                <w:rFonts w:hint="eastAsia" w:ascii="Times New Roman" w:hAnsi="Times New Roman" w:eastAsia="仿宋_GB2312" w:cs="仿宋_GB2312"/>
                <w:i w:val="0"/>
                <w:iCs w:val="0"/>
                <w:color w:val="000000"/>
                <w:sz w:val="28"/>
                <w:szCs w:val="28"/>
                <w:highlight w:val="none"/>
                <w:u w:val="none"/>
              </w:rPr>
            </w:pP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1.在有关种植技术规范规定的最大亩载数量以内的，据实补偿；超过最大亩载数量的部分，一律不予补偿。</w:t>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br w:type="textWrapping"/>
            </w:r>
            <w:r>
              <w:rPr>
                <w:rFonts w:hint="eastAsia" w:ascii="Times New Roman" w:hAnsi="Times New Roman" w:eastAsia="仿宋_GB2312" w:cs="仿宋_GB2312"/>
                <w:i w:val="0"/>
                <w:iCs w:val="0"/>
                <w:snapToGrid w:val="0"/>
                <w:color w:val="000000"/>
                <w:kern w:val="0"/>
                <w:sz w:val="28"/>
                <w:szCs w:val="28"/>
                <w:highlight w:val="none"/>
                <w:u w:val="none"/>
                <w:lang w:val="en-US" w:eastAsia="zh-CN" w:bidi="ar"/>
              </w:rPr>
              <w:t>2.不符合正常生长特征的苗木(冠幅达到树高的50%),按对应标准的60%折价补偿。</w:t>
            </w:r>
          </w:p>
        </w:tc>
      </w:tr>
    </w:tbl>
    <w:p w14:paraId="77EA2E19">
      <w:pPr>
        <w:keepNext w:val="0"/>
        <w:keepLines w:val="0"/>
        <w:pageBreakBefore w:val="0"/>
        <w:wordWrap/>
        <w:overflowPunct/>
        <w:topLinePunct w:val="0"/>
        <w:bidi w:val="0"/>
        <w:spacing w:before="104" w:line="560" w:lineRule="exact"/>
        <w:ind w:firstLine="640" w:firstLineChars="200"/>
        <w:outlineLvl w:val="6"/>
        <w:rPr>
          <w:rFonts w:ascii="Times New Roman" w:hAnsi="Times New Roman"/>
          <w:color w:val="000000"/>
          <w:highlight w:val="none"/>
        </w:rPr>
      </w:pPr>
      <w:r>
        <w:rPr>
          <w:rFonts w:hint="eastAsia" w:ascii="Times New Roman" w:hAnsi="Times New Roman" w:eastAsia="黑体" w:cs="黑体"/>
          <w:b w:val="0"/>
          <w:bCs w:val="0"/>
          <w:color w:val="000000"/>
          <w:sz w:val="32"/>
          <w:szCs w:val="32"/>
          <w:highlight w:val="none"/>
          <w:lang w:val="en-US" w:eastAsia="zh-CN"/>
        </w:rPr>
        <w:t>三</w:t>
      </w:r>
      <w:r>
        <w:rPr>
          <w:rFonts w:hint="eastAsia" w:ascii="Times New Roman" w:hAnsi="Times New Roman" w:eastAsia="黑体" w:cs="黑体"/>
          <w:b w:val="0"/>
          <w:bCs w:val="0"/>
          <w:color w:val="000000"/>
          <w:sz w:val="32"/>
          <w:szCs w:val="32"/>
          <w:highlight w:val="none"/>
        </w:rPr>
        <w:t>、葡萄</w:t>
      </w:r>
    </w:p>
    <w:tbl>
      <w:tblPr>
        <w:tblStyle w:val="10"/>
        <w:tblW w:w="88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9"/>
        <w:gridCol w:w="2062"/>
        <w:gridCol w:w="1908"/>
        <w:gridCol w:w="1760"/>
        <w:gridCol w:w="1501"/>
      </w:tblGrid>
      <w:tr w14:paraId="0F2C4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 w:hRule="atLeast"/>
        </w:trPr>
        <w:tc>
          <w:tcPr>
            <w:tcW w:w="1579" w:type="dxa"/>
            <w:noWrap w:val="0"/>
            <w:vAlign w:val="center"/>
          </w:tcPr>
          <w:p w14:paraId="6078E590">
            <w:pPr>
              <w:pStyle w:val="9"/>
              <w:keepNext w:val="0"/>
              <w:keepLines w:val="0"/>
              <w:pageBreakBefore w:val="0"/>
              <w:wordWrap/>
              <w:overflowPunct/>
              <w:topLinePunct w:val="0"/>
              <w:bidi w:val="0"/>
              <w:spacing w:before="322" w:line="560" w:lineRule="exact"/>
              <w:jc w:val="center"/>
              <w:rPr>
                <w:rFonts w:hint="eastAsia" w:ascii="Times New Roman" w:hAnsi="Times New Roman" w:eastAsia="黑体" w:cs="黑体"/>
                <w:b w:val="0"/>
                <w:bCs w:val="0"/>
                <w:color w:val="000000"/>
                <w:sz w:val="32"/>
                <w:szCs w:val="32"/>
                <w:highlight w:val="none"/>
                <w:lang w:val="en-US" w:eastAsia="zh-CN"/>
              </w:rPr>
            </w:pPr>
            <w:r>
              <w:rPr>
                <w:rFonts w:hint="eastAsia" w:ascii="Times New Roman" w:hAnsi="Times New Roman" w:eastAsia="黑体" w:cs="黑体"/>
                <w:b w:val="0"/>
                <w:bCs w:val="0"/>
                <w:color w:val="000000"/>
                <w:sz w:val="32"/>
                <w:szCs w:val="32"/>
                <w:highlight w:val="none"/>
                <w:lang w:val="en-US" w:eastAsia="zh-CN"/>
              </w:rPr>
              <w:t>品种</w:t>
            </w:r>
          </w:p>
        </w:tc>
        <w:tc>
          <w:tcPr>
            <w:tcW w:w="2062" w:type="dxa"/>
            <w:noWrap w:val="0"/>
            <w:vAlign w:val="center"/>
          </w:tcPr>
          <w:p w14:paraId="77C978FC">
            <w:pPr>
              <w:pStyle w:val="9"/>
              <w:keepNext w:val="0"/>
              <w:keepLines w:val="0"/>
              <w:pageBreakBefore w:val="0"/>
              <w:wordWrap/>
              <w:overflowPunct/>
              <w:topLinePunct w:val="0"/>
              <w:bidi w:val="0"/>
              <w:spacing w:before="82" w:line="560" w:lineRule="exact"/>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6"/>
                <w:sz w:val="32"/>
                <w:szCs w:val="32"/>
                <w:highlight w:val="none"/>
              </w:rPr>
              <w:t>根径</w:t>
            </w:r>
          </w:p>
          <w:p w14:paraId="7D3A9312">
            <w:pPr>
              <w:pStyle w:val="9"/>
              <w:keepNext w:val="0"/>
              <w:keepLines w:val="0"/>
              <w:pageBreakBefore w:val="0"/>
              <w:wordWrap/>
              <w:overflowPunct/>
              <w:topLinePunct w:val="0"/>
              <w:bidi w:val="0"/>
              <w:spacing w:before="130" w:line="560" w:lineRule="exact"/>
              <w:ind w:right="632" w:firstLine="596" w:firstLineChars="200"/>
              <w:jc w:val="both"/>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1"/>
                <w:sz w:val="32"/>
                <w:szCs w:val="32"/>
                <w:highlight w:val="none"/>
              </w:rPr>
              <w:t>(cm)</w:t>
            </w:r>
          </w:p>
        </w:tc>
        <w:tc>
          <w:tcPr>
            <w:tcW w:w="1908" w:type="dxa"/>
            <w:noWrap w:val="0"/>
            <w:vAlign w:val="center"/>
          </w:tcPr>
          <w:p w14:paraId="509CAD9E">
            <w:pPr>
              <w:pStyle w:val="9"/>
              <w:keepNext w:val="0"/>
              <w:keepLines w:val="0"/>
              <w:pageBreakBefore w:val="0"/>
              <w:wordWrap/>
              <w:overflowPunct/>
              <w:topLinePunct w:val="0"/>
              <w:bidi w:val="0"/>
              <w:spacing w:before="131" w:line="560" w:lineRule="exact"/>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5"/>
                <w:sz w:val="32"/>
                <w:szCs w:val="32"/>
                <w:highlight w:val="none"/>
              </w:rPr>
              <w:t>最大亩载量</w:t>
            </w:r>
          </w:p>
          <w:p w14:paraId="56560E32">
            <w:pPr>
              <w:pStyle w:val="9"/>
              <w:keepNext w:val="0"/>
              <w:keepLines w:val="0"/>
              <w:pageBreakBefore w:val="0"/>
              <w:wordWrap/>
              <w:overflowPunct/>
              <w:topLinePunct w:val="0"/>
              <w:bidi w:val="0"/>
              <w:spacing w:before="103" w:line="560" w:lineRule="exact"/>
              <w:ind w:left="697"/>
              <w:jc w:val="both"/>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3"/>
                <w:sz w:val="32"/>
                <w:szCs w:val="32"/>
                <w:highlight w:val="none"/>
              </w:rPr>
              <w:t>(株)</w:t>
            </w:r>
          </w:p>
        </w:tc>
        <w:tc>
          <w:tcPr>
            <w:tcW w:w="1760" w:type="dxa"/>
            <w:noWrap w:val="0"/>
            <w:vAlign w:val="center"/>
          </w:tcPr>
          <w:p w14:paraId="52924AF0">
            <w:pPr>
              <w:pStyle w:val="9"/>
              <w:keepNext w:val="0"/>
              <w:keepLines w:val="0"/>
              <w:pageBreakBefore w:val="0"/>
              <w:wordWrap/>
              <w:overflowPunct/>
              <w:topLinePunct w:val="0"/>
              <w:bidi w:val="0"/>
              <w:spacing w:before="108" w:line="560" w:lineRule="exact"/>
              <w:ind w:right="250"/>
              <w:jc w:val="center"/>
              <w:rPr>
                <w:rFonts w:hint="eastAsia" w:ascii="Times New Roman" w:hAnsi="Times New Roman" w:eastAsia="黑体" w:cs="黑体"/>
                <w:b w:val="0"/>
                <w:bCs w:val="0"/>
                <w:color w:val="000000"/>
                <w:spacing w:val="-7"/>
                <w:sz w:val="32"/>
                <w:szCs w:val="32"/>
                <w:highlight w:val="none"/>
              </w:rPr>
            </w:pPr>
            <w:r>
              <w:rPr>
                <w:rFonts w:hint="eastAsia" w:ascii="Times New Roman" w:hAnsi="Times New Roman" w:eastAsia="黑体" w:cs="黑体"/>
                <w:b w:val="0"/>
                <w:bCs w:val="0"/>
                <w:color w:val="000000"/>
                <w:spacing w:val="-7"/>
                <w:sz w:val="32"/>
                <w:szCs w:val="32"/>
                <w:highlight w:val="none"/>
              </w:rPr>
              <w:t>参考价</w:t>
            </w:r>
          </w:p>
          <w:p w14:paraId="231504D9">
            <w:pPr>
              <w:pStyle w:val="9"/>
              <w:keepNext w:val="0"/>
              <w:keepLines w:val="0"/>
              <w:pageBreakBefore w:val="0"/>
              <w:wordWrap/>
              <w:overflowPunct/>
              <w:topLinePunct w:val="0"/>
              <w:bidi w:val="0"/>
              <w:spacing w:before="108" w:line="560" w:lineRule="exact"/>
              <w:ind w:right="250"/>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3"/>
                <w:sz w:val="32"/>
                <w:szCs w:val="32"/>
                <w:highlight w:val="none"/>
              </w:rPr>
              <w:t>(元)</w:t>
            </w:r>
          </w:p>
        </w:tc>
        <w:tc>
          <w:tcPr>
            <w:tcW w:w="1501" w:type="dxa"/>
            <w:noWrap w:val="0"/>
            <w:vAlign w:val="center"/>
          </w:tcPr>
          <w:p w14:paraId="0CF7C181">
            <w:pPr>
              <w:pStyle w:val="9"/>
              <w:keepNext w:val="0"/>
              <w:keepLines w:val="0"/>
              <w:pageBreakBefore w:val="0"/>
              <w:wordWrap/>
              <w:overflowPunct/>
              <w:topLinePunct w:val="0"/>
              <w:bidi w:val="0"/>
              <w:spacing w:before="81" w:line="560" w:lineRule="exact"/>
              <w:jc w:val="center"/>
              <w:rPr>
                <w:rFonts w:hint="eastAsia" w:ascii="Times New Roman" w:hAnsi="Times New Roman" w:eastAsia="黑体" w:cs="黑体"/>
                <w:b w:val="0"/>
                <w:bCs w:val="0"/>
                <w:color w:val="000000"/>
                <w:sz w:val="32"/>
                <w:szCs w:val="32"/>
                <w:highlight w:val="none"/>
                <w:lang w:val="en-US" w:eastAsia="zh-CN"/>
              </w:rPr>
            </w:pPr>
            <w:r>
              <w:rPr>
                <w:rFonts w:hint="eastAsia" w:ascii="Times New Roman" w:hAnsi="Times New Roman" w:eastAsia="黑体" w:cs="黑体"/>
                <w:b w:val="0"/>
                <w:bCs w:val="0"/>
                <w:color w:val="000000"/>
                <w:sz w:val="32"/>
                <w:szCs w:val="32"/>
                <w:highlight w:val="none"/>
                <w:lang w:val="en-US" w:eastAsia="zh-CN"/>
              </w:rPr>
              <w:t>备注</w:t>
            </w:r>
          </w:p>
        </w:tc>
      </w:tr>
      <w:tr w14:paraId="1AA8A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579" w:type="dxa"/>
            <w:vMerge w:val="restart"/>
            <w:tcBorders>
              <w:bottom w:val="nil"/>
            </w:tcBorders>
            <w:noWrap w:val="0"/>
            <w:vAlign w:val="center"/>
          </w:tcPr>
          <w:p w14:paraId="0E516EFD">
            <w:pPr>
              <w:pStyle w:val="9"/>
              <w:keepNext w:val="0"/>
              <w:keepLines w:val="0"/>
              <w:pageBreakBefore w:val="0"/>
              <w:wordWrap/>
              <w:overflowPunct/>
              <w:topLinePunct w:val="0"/>
              <w:bidi w:val="0"/>
              <w:spacing w:before="81"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9"/>
                <w:sz w:val="28"/>
                <w:szCs w:val="28"/>
                <w:highlight w:val="none"/>
              </w:rPr>
              <w:t>葡萄</w:t>
            </w:r>
          </w:p>
        </w:tc>
        <w:tc>
          <w:tcPr>
            <w:tcW w:w="2062" w:type="dxa"/>
            <w:noWrap w:val="0"/>
            <w:vAlign w:val="center"/>
          </w:tcPr>
          <w:p w14:paraId="4AA7C2CF">
            <w:pPr>
              <w:pStyle w:val="9"/>
              <w:keepNext w:val="0"/>
              <w:keepLines w:val="0"/>
              <w:pageBreakBefore w:val="0"/>
              <w:wordWrap/>
              <w:overflowPunct/>
              <w:topLinePunct w:val="0"/>
              <w:bidi w:val="0"/>
              <w:spacing w:before="163"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3.9以下</w:t>
            </w:r>
          </w:p>
        </w:tc>
        <w:tc>
          <w:tcPr>
            <w:tcW w:w="1908" w:type="dxa"/>
            <w:noWrap w:val="0"/>
            <w:vAlign w:val="center"/>
          </w:tcPr>
          <w:p w14:paraId="08B53814">
            <w:pPr>
              <w:pStyle w:val="9"/>
              <w:keepNext w:val="0"/>
              <w:keepLines w:val="0"/>
              <w:pageBreakBefore w:val="0"/>
              <w:wordWrap/>
              <w:overflowPunct/>
              <w:topLinePunct w:val="0"/>
              <w:bidi w:val="0"/>
              <w:spacing w:before="225" w:line="560" w:lineRule="exact"/>
              <w:jc w:val="center"/>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6"/>
                <w:sz w:val="28"/>
                <w:szCs w:val="28"/>
                <w:highlight w:val="none"/>
                <w:lang w:val="en-US" w:eastAsia="zh-CN"/>
              </w:rPr>
              <w:t>650</w:t>
            </w:r>
          </w:p>
        </w:tc>
        <w:tc>
          <w:tcPr>
            <w:tcW w:w="1760" w:type="dxa"/>
            <w:noWrap w:val="0"/>
            <w:vAlign w:val="center"/>
          </w:tcPr>
          <w:p w14:paraId="3F409AE8">
            <w:pPr>
              <w:pStyle w:val="9"/>
              <w:keepNext w:val="0"/>
              <w:keepLines w:val="0"/>
              <w:pageBreakBefore w:val="0"/>
              <w:wordWrap/>
              <w:overflowPunct/>
              <w:topLinePunct w:val="0"/>
              <w:bidi w:val="0"/>
              <w:spacing w:before="226"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8</w:t>
            </w:r>
          </w:p>
        </w:tc>
        <w:tc>
          <w:tcPr>
            <w:tcW w:w="1501" w:type="dxa"/>
            <w:noWrap w:val="0"/>
            <w:vAlign w:val="top"/>
          </w:tcPr>
          <w:p w14:paraId="54A0603F">
            <w:pPr>
              <w:pStyle w:val="9"/>
              <w:keepNext w:val="0"/>
              <w:keepLines w:val="0"/>
              <w:pageBreakBefore w:val="0"/>
              <w:wordWrap/>
              <w:overflowPunct/>
              <w:topLinePunct w:val="0"/>
              <w:bidi w:val="0"/>
              <w:spacing w:before="226"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47CB5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579" w:type="dxa"/>
            <w:vMerge w:val="continue"/>
            <w:tcBorders>
              <w:top w:val="nil"/>
              <w:bottom w:val="nil"/>
            </w:tcBorders>
            <w:noWrap w:val="0"/>
            <w:vAlign w:val="top"/>
          </w:tcPr>
          <w:p w14:paraId="5A3C2E5B">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062" w:type="dxa"/>
            <w:noWrap w:val="0"/>
            <w:vAlign w:val="center"/>
          </w:tcPr>
          <w:p w14:paraId="4DD6C52A">
            <w:pPr>
              <w:pStyle w:val="9"/>
              <w:keepNext w:val="0"/>
              <w:keepLines w:val="0"/>
              <w:pageBreakBefore w:val="0"/>
              <w:wordWrap/>
              <w:overflowPunct/>
              <w:topLinePunct w:val="0"/>
              <w:bidi w:val="0"/>
              <w:spacing w:before="238"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4—4.9</w:t>
            </w:r>
          </w:p>
        </w:tc>
        <w:tc>
          <w:tcPr>
            <w:tcW w:w="1908" w:type="dxa"/>
            <w:noWrap w:val="0"/>
            <w:vAlign w:val="center"/>
          </w:tcPr>
          <w:p w14:paraId="2A5BE155">
            <w:pPr>
              <w:pStyle w:val="9"/>
              <w:keepNext w:val="0"/>
              <w:keepLines w:val="0"/>
              <w:pageBreakBefore w:val="0"/>
              <w:wordWrap/>
              <w:overflowPunct/>
              <w:topLinePunct w:val="0"/>
              <w:bidi w:val="0"/>
              <w:spacing w:before="238" w:line="560" w:lineRule="exact"/>
              <w:jc w:val="center"/>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3"/>
                <w:sz w:val="28"/>
                <w:szCs w:val="28"/>
                <w:highlight w:val="none"/>
                <w:lang w:val="en-US" w:eastAsia="zh-CN"/>
              </w:rPr>
              <w:t>425</w:t>
            </w:r>
          </w:p>
        </w:tc>
        <w:tc>
          <w:tcPr>
            <w:tcW w:w="1760" w:type="dxa"/>
            <w:noWrap w:val="0"/>
            <w:vAlign w:val="center"/>
          </w:tcPr>
          <w:p w14:paraId="6911FB1B">
            <w:pPr>
              <w:pStyle w:val="9"/>
              <w:keepNext w:val="0"/>
              <w:keepLines w:val="0"/>
              <w:pageBreakBefore w:val="0"/>
              <w:wordWrap/>
              <w:overflowPunct/>
              <w:topLinePunct w:val="0"/>
              <w:bidi w:val="0"/>
              <w:spacing w:before="237"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20</w:t>
            </w:r>
          </w:p>
        </w:tc>
        <w:tc>
          <w:tcPr>
            <w:tcW w:w="1501" w:type="dxa"/>
            <w:noWrap w:val="0"/>
            <w:vAlign w:val="top"/>
          </w:tcPr>
          <w:p w14:paraId="34802581">
            <w:pPr>
              <w:pStyle w:val="9"/>
              <w:keepNext w:val="0"/>
              <w:keepLines w:val="0"/>
              <w:pageBreakBefore w:val="0"/>
              <w:wordWrap/>
              <w:overflowPunct/>
              <w:topLinePunct w:val="0"/>
              <w:bidi w:val="0"/>
              <w:spacing w:before="226"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27A38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579" w:type="dxa"/>
            <w:vMerge w:val="continue"/>
            <w:tcBorders>
              <w:top w:val="nil"/>
              <w:bottom w:val="nil"/>
            </w:tcBorders>
            <w:noWrap w:val="0"/>
            <w:vAlign w:val="top"/>
          </w:tcPr>
          <w:p w14:paraId="0EF4F229">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062" w:type="dxa"/>
            <w:noWrap w:val="0"/>
            <w:vAlign w:val="center"/>
          </w:tcPr>
          <w:p w14:paraId="3BB57F31">
            <w:pPr>
              <w:pStyle w:val="9"/>
              <w:keepNext w:val="0"/>
              <w:keepLines w:val="0"/>
              <w:pageBreakBefore w:val="0"/>
              <w:wordWrap/>
              <w:overflowPunct/>
              <w:topLinePunct w:val="0"/>
              <w:bidi w:val="0"/>
              <w:spacing w:before="170"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1"/>
                <w:sz w:val="28"/>
                <w:szCs w:val="28"/>
                <w:highlight w:val="none"/>
              </w:rPr>
              <w:t>5以上</w:t>
            </w:r>
          </w:p>
        </w:tc>
        <w:tc>
          <w:tcPr>
            <w:tcW w:w="1908" w:type="dxa"/>
            <w:noWrap w:val="0"/>
            <w:vAlign w:val="center"/>
          </w:tcPr>
          <w:p w14:paraId="58CEEB3E">
            <w:pPr>
              <w:pStyle w:val="9"/>
              <w:keepNext w:val="0"/>
              <w:keepLines w:val="0"/>
              <w:pageBreakBefore w:val="0"/>
              <w:wordWrap/>
              <w:overflowPunct/>
              <w:topLinePunct w:val="0"/>
              <w:bidi w:val="0"/>
              <w:spacing w:before="229"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150</w:t>
            </w:r>
          </w:p>
        </w:tc>
        <w:tc>
          <w:tcPr>
            <w:tcW w:w="1760" w:type="dxa"/>
            <w:noWrap w:val="0"/>
            <w:vAlign w:val="center"/>
          </w:tcPr>
          <w:p w14:paraId="41D60C77">
            <w:pPr>
              <w:pStyle w:val="9"/>
              <w:keepNext w:val="0"/>
              <w:keepLines w:val="0"/>
              <w:pageBreakBefore w:val="0"/>
              <w:wordWrap/>
              <w:overflowPunct/>
              <w:topLinePunct w:val="0"/>
              <w:bidi w:val="0"/>
              <w:spacing w:before="229"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1</w:t>
            </w:r>
            <w:r>
              <w:rPr>
                <w:rFonts w:hint="eastAsia" w:ascii="Times New Roman" w:hAnsi="Times New Roman" w:eastAsia="仿宋_GB2312" w:cs="仿宋_GB2312"/>
                <w:color w:val="000000"/>
                <w:spacing w:val="-7"/>
                <w:sz w:val="28"/>
                <w:szCs w:val="28"/>
                <w:highlight w:val="none"/>
                <w:lang w:val="en-US" w:eastAsia="zh-CN"/>
              </w:rPr>
              <w:t>2</w:t>
            </w:r>
            <w:r>
              <w:rPr>
                <w:rFonts w:hint="eastAsia" w:ascii="Times New Roman" w:hAnsi="Times New Roman" w:eastAsia="仿宋_GB2312" w:cs="仿宋_GB2312"/>
                <w:color w:val="000000"/>
                <w:spacing w:val="-7"/>
                <w:sz w:val="28"/>
                <w:szCs w:val="28"/>
                <w:highlight w:val="none"/>
              </w:rPr>
              <w:t>0</w:t>
            </w:r>
          </w:p>
        </w:tc>
        <w:tc>
          <w:tcPr>
            <w:tcW w:w="1501" w:type="dxa"/>
            <w:noWrap w:val="0"/>
            <w:vAlign w:val="top"/>
          </w:tcPr>
          <w:p w14:paraId="24BBD3F8">
            <w:pPr>
              <w:pStyle w:val="9"/>
              <w:keepNext w:val="0"/>
              <w:keepLines w:val="0"/>
              <w:pageBreakBefore w:val="0"/>
              <w:wordWrap/>
              <w:overflowPunct/>
              <w:topLinePunct w:val="0"/>
              <w:bidi w:val="0"/>
              <w:spacing w:before="226"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05A24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trPr>
        <w:tc>
          <w:tcPr>
            <w:tcW w:w="1579" w:type="dxa"/>
            <w:vMerge w:val="continue"/>
            <w:tcBorders>
              <w:top w:val="nil"/>
            </w:tcBorders>
            <w:noWrap w:val="0"/>
            <w:vAlign w:val="top"/>
          </w:tcPr>
          <w:p w14:paraId="24E4599E">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7231" w:type="dxa"/>
            <w:gridSpan w:val="4"/>
            <w:noWrap w:val="0"/>
            <w:vAlign w:val="top"/>
          </w:tcPr>
          <w:p w14:paraId="536AAED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jc w:val="left"/>
              <w:textAlignment w:val="center"/>
              <w:rPr>
                <w:rFonts w:hint="eastAsia" w:ascii="Times New Roman" w:hAnsi="Times New Roman" w:eastAsia="仿宋_GB2312" w:cs="仿宋_GB2312"/>
                <w:b/>
                <w:bCs/>
                <w:i w:val="0"/>
                <w:iCs w:val="0"/>
                <w:snapToGrid w:val="0"/>
                <w:color w:val="000000"/>
                <w:kern w:val="0"/>
                <w:sz w:val="28"/>
                <w:szCs w:val="28"/>
                <w:highlight w:val="none"/>
                <w:u w:val="none"/>
                <w:lang w:val="en-US" w:eastAsia="zh-CN" w:bidi="ar"/>
              </w:rPr>
            </w:pPr>
            <w:r>
              <w:rPr>
                <w:rFonts w:hint="eastAsia" w:ascii="Times New Roman" w:hAnsi="Times New Roman" w:eastAsia="仿宋_GB2312" w:cs="仿宋_GB2312"/>
                <w:b/>
                <w:bCs/>
                <w:i w:val="0"/>
                <w:iCs w:val="0"/>
                <w:snapToGrid w:val="0"/>
                <w:color w:val="000000"/>
                <w:kern w:val="0"/>
                <w:sz w:val="28"/>
                <w:szCs w:val="28"/>
                <w:highlight w:val="none"/>
                <w:u w:val="none"/>
                <w:lang w:val="en-US" w:eastAsia="zh-CN" w:bidi="ar"/>
              </w:rPr>
              <w:t>说明：</w:t>
            </w:r>
          </w:p>
          <w:p w14:paraId="6AF049BE">
            <w:pPr>
              <w:pStyle w:val="9"/>
              <w:keepNext w:val="0"/>
              <w:keepLines w:val="0"/>
              <w:pageBreakBefore w:val="0"/>
              <w:numPr>
                <w:ilvl w:val="0"/>
                <w:numId w:val="3"/>
              </w:numPr>
              <w:wordWrap/>
              <w:overflowPunct/>
              <w:topLinePunct w:val="0"/>
              <w:bidi w:val="0"/>
              <w:spacing w:before="68" w:line="560" w:lineRule="exact"/>
              <w:jc w:val="both"/>
              <w:rPr>
                <w:rFonts w:hint="eastAsia" w:ascii="Times New Roman" w:hAnsi="Times New Roman" w:eastAsia="仿宋_GB2312" w:cs="仿宋_GB2312"/>
                <w:color w:val="000000"/>
                <w:spacing w:val="-1"/>
                <w:sz w:val="28"/>
                <w:szCs w:val="28"/>
                <w:highlight w:val="none"/>
              </w:rPr>
            </w:pPr>
            <w:r>
              <w:rPr>
                <w:rFonts w:hint="eastAsia" w:ascii="Times New Roman" w:hAnsi="Times New Roman" w:eastAsia="仿宋_GB2312" w:cs="仿宋_GB2312"/>
                <w:color w:val="000000"/>
                <w:spacing w:val="-12"/>
                <w:sz w:val="28"/>
                <w:szCs w:val="28"/>
                <w:highlight w:val="none"/>
              </w:rPr>
              <w:t>每亩种植数量在规定最大亩载数量以内的，据实补偿；</w:t>
            </w:r>
            <w:r>
              <w:rPr>
                <w:rFonts w:hint="eastAsia" w:ascii="Times New Roman" w:hAnsi="Times New Roman" w:eastAsia="仿宋_GB2312" w:cs="仿宋_GB2312"/>
                <w:color w:val="000000"/>
                <w:spacing w:val="-11"/>
                <w:sz w:val="28"/>
                <w:szCs w:val="28"/>
                <w:highlight w:val="none"/>
              </w:rPr>
              <w:t>超</w:t>
            </w:r>
            <w:r>
              <w:rPr>
                <w:rFonts w:hint="eastAsia" w:ascii="Times New Roman" w:hAnsi="Times New Roman" w:eastAsia="仿宋_GB2312" w:cs="仿宋_GB2312"/>
                <w:color w:val="000000"/>
                <w:spacing w:val="-1"/>
                <w:sz w:val="28"/>
                <w:szCs w:val="28"/>
                <w:highlight w:val="none"/>
              </w:rPr>
              <w:t>过最大亩载数量的部分，全部不予补偿。</w:t>
            </w:r>
          </w:p>
          <w:p w14:paraId="0B617B11">
            <w:pPr>
              <w:pStyle w:val="9"/>
              <w:keepNext w:val="0"/>
              <w:keepLines w:val="0"/>
              <w:pageBreakBefore w:val="0"/>
              <w:numPr>
                <w:ilvl w:val="0"/>
                <w:numId w:val="0"/>
              </w:numPr>
              <w:wordWrap/>
              <w:overflowPunct/>
              <w:topLinePunct w:val="0"/>
              <w:bidi w:val="0"/>
              <w:spacing w:before="68" w:line="560" w:lineRule="exact"/>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1"/>
                <w:sz w:val="28"/>
                <w:szCs w:val="28"/>
                <w:highlight w:val="none"/>
                <w:lang w:val="en-US" w:eastAsia="zh-CN"/>
              </w:rPr>
              <w:t>2.</w:t>
            </w:r>
            <w:r>
              <w:rPr>
                <w:rFonts w:hint="eastAsia" w:ascii="Times New Roman" w:hAnsi="Times New Roman" w:eastAsia="仿宋_GB2312" w:cs="仿宋_GB2312"/>
                <w:color w:val="000000"/>
                <w:spacing w:val="-1"/>
                <w:sz w:val="28"/>
                <w:szCs w:val="28"/>
                <w:highlight w:val="none"/>
              </w:rPr>
              <w:t>从藤条根部量，无藤条的不予补偿。</w:t>
            </w:r>
          </w:p>
        </w:tc>
      </w:tr>
    </w:tbl>
    <w:p w14:paraId="07949298">
      <w:pPr>
        <w:keepNext w:val="0"/>
        <w:keepLines w:val="0"/>
        <w:pageBreakBefore w:val="0"/>
        <w:wordWrap/>
        <w:overflowPunct/>
        <w:topLinePunct w:val="0"/>
        <w:bidi w:val="0"/>
        <w:spacing w:before="104" w:line="560" w:lineRule="exact"/>
        <w:ind w:firstLine="640" w:firstLineChars="200"/>
        <w:outlineLvl w:val="6"/>
        <w:rPr>
          <w:rFonts w:ascii="Times New Roman" w:hAnsi="Times New Roman"/>
          <w:color w:val="000000"/>
          <w:sz w:val="2"/>
          <w:highlight w:val="none"/>
        </w:rPr>
      </w:pPr>
      <w:r>
        <w:rPr>
          <w:rFonts w:hint="eastAsia" w:ascii="Times New Roman" w:hAnsi="Times New Roman" w:eastAsia="黑体" w:cs="黑体"/>
          <w:b w:val="0"/>
          <w:bCs w:val="0"/>
          <w:color w:val="000000"/>
          <w:sz w:val="32"/>
          <w:szCs w:val="32"/>
          <w:highlight w:val="none"/>
          <w:lang w:val="en-US" w:eastAsia="zh-CN"/>
        </w:rPr>
        <w:t>四</w:t>
      </w:r>
      <w:r>
        <w:rPr>
          <w:rFonts w:hint="eastAsia" w:ascii="Times New Roman" w:hAnsi="Times New Roman" w:eastAsia="黑体" w:cs="黑体"/>
          <w:b w:val="0"/>
          <w:bCs w:val="0"/>
          <w:color w:val="000000"/>
          <w:sz w:val="32"/>
          <w:szCs w:val="32"/>
          <w:highlight w:val="none"/>
        </w:rPr>
        <w:t>、垂柳、白蜡、丝绵木</w:t>
      </w:r>
    </w:p>
    <w:tbl>
      <w:tblPr>
        <w:tblStyle w:val="10"/>
        <w:tblW w:w="8810"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0"/>
        <w:gridCol w:w="1719"/>
        <w:gridCol w:w="1665"/>
        <w:gridCol w:w="1710"/>
        <w:gridCol w:w="1976"/>
      </w:tblGrid>
      <w:tr w14:paraId="681F8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1740" w:type="dxa"/>
            <w:noWrap w:val="0"/>
            <w:vAlign w:val="top"/>
          </w:tcPr>
          <w:p w14:paraId="13939A0B">
            <w:pPr>
              <w:pStyle w:val="9"/>
              <w:keepNext w:val="0"/>
              <w:keepLines w:val="0"/>
              <w:pageBreakBefore w:val="0"/>
              <w:wordWrap/>
              <w:overflowPunct/>
              <w:topLinePunct w:val="0"/>
              <w:bidi w:val="0"/>
              <w:spacing w:before="273" w:line="560" w:lineRule="exact"/>
              <w:ind w:left="659"/>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3"/>
                <w:sz w:val="32"/>
                <w:szCs w:val="32"/>
                <w:highlight w:val="none"/>
              </w:rPr>
              <w:t>品种</w:t>
            </w:r>
          </w:p>
        </w:tc>
        <w:tc>
          <w:tcPr>
            <w:tcW w:w="1719" w:type="dxa"/>
            <w:noWrap w:val="0"/>
            <w:vAlign w:val="top"/>
          </w:tcPr>
          <w:p w14:paraId="60CC3FAA">
            <w:pPr>
              <w:pStyle w:val="9"/>
              <w:keepNext w:val="0"/>
              <w:keepLines w:val="0"/>
              <w:pageBreakBefore w:val="0"/>
              <w:wordWrap/>
              <w:overflowPunct/>
              <w:topLinePunct w:val="0"/>
              <w:bidi w:val="0"/>
              <w:spacing w:before="102" w:line="560" w:lineRule="exact"/>
              <w:ind w:left="258" w:right="261"/>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8"/>
                <w:sz w:val="32"/>
                <w:szCs w:val="32"/>
                <w:highlight w:val="none"/>
              </w:rPr>
              <w:t>胸径</w:t>
            </w:r>
          </w:p>
          <w:p w14:paraId="08E866A3">
            <w:pPr>
              <w:pStyle w:val="9"/>
              <w:keepNext w:val="0"/>
              <w:keepLines w:val="0"/>
              <w:pageBreakBefore w:val="0"/>
              <w:wordWrap/>
              <w:overflowPunct/>
              <w:topLinePunct w:val="0"/>
              <w:bidi w:val="0"/>
              <w:spacing w:before="102" w:line="560" w:lineRule="exact"/>
              <w:ind w:left="258" w:right="261"/>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5"/>
                <w:sz w:val="32"/>
                <w:szCs w:val="32"/>
                <w:highlight w:val="none"/>
              </w:rPr>
              <w:t>(cm)</w:t>
            </w:r>
          </w:p>
        </w:tc>
        <w:tc>
          <w:tcPr>
            <w:tcW w:w="1665" w:type="dxa"/>
            <w:noWrap w:val="0"/>
            <w:vAlign w:val="top"/>
          </w:tcPr>
          <w:p w14:paraId="55C4BBBF">
            <w:pPr>
              <w:pStyle w:val="9"/>
              <w:keepNext w:val="0"/>
              <w:keepLines w:val="0"/>
              <w:pageBreakBefore w:val="0"/>
              <w:wordWrap/>
              <w:overflowPunct/>
              <w:topLinePunct w:val="0"/>
              <w:bidi w:val="0"/>
              <w:spacing w:before="273" w:line="560" w:lineRule="exact"/>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7"/>
                <w:sz w:val="32"/>
                <w:szCs w:val="32"/>
                <w:highlight w:val="none"/>
              </w:rPr>
              <w:t>单位</w:t>
            </w:r>
          </w:p>
        </w:tc>
        <w:tc>
          <w:tcPr>
            <w:tcW w:w="1710" w:type="dxa"/>
            <w:noWrap w:val="0"/>
            <w:vAlign w:val="center"/>
          </w:tcPr>
          <w:p w14:paraId="71430026">
            <w:pPr>
              <w:pStyle w:val="9"/>
              <w:keepNext w:val="0"/>
              <w:keepLines w:val="0"/>
              <w:pageBreakBefore w:val="0"/>
              <w:wordWrap/>
              <w:overflowPunct/>
              <w:topLinePunct w:val="0"/>
              <w:bidi w:val="0"/>
              <w:spacing w:before="80" w:line="560" w:lineRule="exact"/>
              <w:ind w:left="0"/>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6"/>
                <w:sz w:val="32"/>
                <w:szCs w:val="32"/>
                <w:highlight w:val="none"/>
              </w:rPr>
              <w:t>参考价</w:t>
            </w:r>
          </w:p>
          <w:p w14:paraId="53CFF5EB">
            <w:pPr>
              <w:pStyle w:val="9"/>
              <w:keepNext w:val="0"/>
              <w:keepLines w:val="0"/>
              <w:pageBreakBefore w:val="0"/>
              <w:wordWrap/>
              <w:overflowPunct/>
              <w:topLinePunct w:val="0"/>
              <w:bidi w:val="0"/>
              <w:spacing w:before="72" w:line="560" w:lineRule="exact"/>
              <w:ind w:left="0"/>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4"/>
                <w:sz w:val="32"/>
                <w:szCs w:val="32"/>
                <w:highlight w:val="none"/>
              </w:rPr>
              <w:t>(元)</w:t>
            </w:r>
          </w:p>
        </w:tc>
        <w:tc>
          <w:tcPr>
            <w:tcW w:w="1976" w:type="dxa"/>
            <w:noWrap w:val="0"/>
            <w:vAlign w:val="top"/>
          </w:tcPr>
          <w:p w14:paraId="42325E73">
            <w:pPr>
              <w:pStyle w:val="9"/>
              <w:keepNext w:val="0"/>
              <w:keepLines w:val="0"/>
              <w:pageBreakBefore w:val="0"/>
              <w:wordWrap/>
              <w:overflowPunct/>
              <w:topLinePunct w:val="0"/>
              <w:bidi w:val="0"/>
              <w:spacing w:before="274" w:line="560" w:lineRule="exact"/>
              <w:ind w:left="0"/>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z w:val="32"/>
                <w:szCs w:val="32"/>
                <w:highlight w:val="none"/>
              </w:rPr>
              <w:t>备注</w:t>
            </w:r>
          </w:p>
        </w:tc>
      </w:tr>
      <w:tr w14:paraId="2BA00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740" w:type="dxa"/>
            <w:vMerge w:val="restart"/>
            <w:tcBorders>
              <w:bottom w:val="nil"/>
            </w:tcBorders>
            <w:noWrap w:val="0"/>
            <w:vAlign w:val="center"/>
          </w:tcPr>
          <w:p w14:paraId="4BD183B0">
            <w:pPr>
              <w:pStyle w:val="9"/>
              <w:keepNext w:val="0"/>
              <w:keepLines w:val="0"/>
              <w:pageBreakBefore w:val="0"/>
              <w:wordWrap/>
              <w:overflowPunct/>
              <w:topLinePunct w:val="0"/>
              <w:bidi w:val="0"/>
              <w:spacing w:before="91" w:line="560" w:lineRule="exact"/>
              <w:jc w:val="center"/>
              <w:rPr>
                <w:rFonts w:hint="eastAsia" w:ascii="Times New Roman" w:hAnsi="Times New Roman" w:eastAsia="仿宋_GB2312" w:cs="仿宋_GB2312"/>
                <w:color w:val="000000"/>
                <w:spacing w:val="8"/>
                <w:sz w:val="28"/>
                <w:szCs w:val="28"/>
                <w:highlight w:val="none"/>
              </w:rPr>
            </w:pPr>
            <w:r>
              <w:rPr>
                <w:rFonts w:hint="eastAsia" w:ascii="Times New Roman" w:hAnsi="Times New Roman" w:eastAsia="仿宋_GB2312" w:cs="仿宋_GB2312"/>
                <w:color w:val="000000"/>
                <w:spacing w:val="8"/>
                <w:sz w:val="28"/>
                <w:szCs w:val="28"/>
                <w:highlight w:val="none"/>
              </w:rPr>
              <w:t>垂柳</w:t>
            </w:r>
          </w:p>
          <w:p w14:paraId="54076B0C">
            <w:pPr>
              <w:pStyle w:val="9"/>
              <w:keepNext w:val="0"/>
              <w:keepLines w:val="0"/>
              <w:pageBreakBefore w:val="0"/>
              <w:wordWrap/>
              <w:overflowPunct/>
              <w:topLinePunct w:val="0"/>
              <w:bidi w:val="0"/>
              <w:spacing w:before="91" w:line="560" w:lineRule="exact"/>
              <w:jc w:val="center"/>
              <w:rPr>
                <w:rFonts w:hint="eastAsia" w:ascii="Times New Roman" w:hAnsi="Times New Roman" w:eastAsia="仿宋_GB2312" w:cs="仿宋_GB2312"/>
                <w:color w:val="000000"/>
                <w:spacing w:val="5"/>
                <w:sz w:val="28"/>
                <w:szCs w:val="28"/>
                <w:highlight w:val="none"/>
              </w:rPr>
            </w:pPr>
            <w:r>
              <w:rPr>
                <w:rFonts w:hint="eastAsia" w:ascii="Times New Roman" w:hAnsi="Times New Roman" w:eastAsia="仿宋_GB2312" w:cs="仿宋_GB2312"/>
                <w:color w:val="000000"/>
                <w:spacing w:val="5"/>
                <w:sz w:val="28"/>
                <w:szCs w:val="28"/>
                <w:highlight w:val="none"/>
              </w:rPr>
              <w:t>白蜡</w:t>
            </w:r>
          </w:p>
          <w:p w14:paraId="10908BE9">
            <w:pPr>
              <w:pStyle w:val="9"/>
              <w:keepNext w:val="0"/>
              <w:keepLines w:val="0"/>
              <w:pageBreakBefore w:val="0"/>
              <w:wordWrap/>
              <w:overflowPunct/>
              <w:topLinePunct w:val="0"/>
              <w:bidi w:val="0"/>
              <w:spacing w:before="91"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丝绵木</w:t>
            </w:r>
          </w:p>
        </w:tc>
        <w:tc>
          <w:tcPr>
            <w:tcW w:w="1719" w:type="dxa"/>
            <w:noWrap w:val="0"/>
            <w:vAlign w:val="center"/>
          </w:tcPr>
          <w:p w14:paraId="3FB9F11D">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1—1.9</w:t>
            </w:r>
          </w:p>
        </w:tc>
        <w:tc>
          <w:tcPr>
            <w:tcW w:w="1665" w:type="dxa"/>
            <w:noWrap w:val="0"/>
            <w:vAlign w:val="center"/>
          </w:tcPr>
          <w:p w14:paraId="08546A78">
            <w:pPr>
              <w:pStyle w:val="9"/>
              <w:keepNext w:val="0"/>
              <w:keepLines w:val="0"/>
              <w:pageBreakBefore w:val="0"/>
              <w:wordWrap/>
              <w:overflowPunct/>
              <w:topLinePunct w:val="0"/>
              <w:bidi w:val="0"/>
              <w:spacing w:before="153" w:line="560" w:lineRule="exact"/>
              <w:ind w:left="0"/>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元/株</w:t>
            </w:r>
          </w:p>
        </w:tc>
        <w:tc>
          <w:tcPr>
            <w:tcW w:w="1710" w:type="dxa"/>
            <w:noWrap w:val="0"/>
            <w:vAlign w:val="center"/>
          </w:tcPr>
          <w:p w14:paraId="0D553DD4">
            <w:pPr>
              <w:pStyle w:val="9"/>
              <w:keepNext w:val="0"/>
              <w:keepLines w:val="0"/>
              <w:pageBreakBefore w:val="0"/>
              <w:wordWrap/>
              <w:overflowPunct/>
              <w:topLinePunct w:val="0"/>
              <w:bidi w:val="0"/>
              <w:spacing w:before="225" w:line="560" w:lineRule="exact"/>
              <w:ind w:left="0"/>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z w:val="28"/>
                <w:szCs w:val="28"/>
                <w:highlight w:val="none"/>
                <w:lang w:val="en-US" w:eastAsia="zh-CN"/>
              </w:rPr>
              <w:t>7</w:t>
            </w:r>
          </w:p>
        </w:tc>
        <w:tc>
          <w:tcPr>
            <w:tcW w:w="1976" w:type="dxa"/>
            <w:noWrap w:val="0"/>
            <w:vAlign w:val="center"/>
          </w:tcPr>
          <w:p w14:paraId="064FFBD8">
            <w:pPr>
              <w:pStyle w:val="9"/>
              <w:keepNext w:val="0"/>
              <w:keepLines w:val="0"/>
              <w:pageBreakBefore w:val="0"/>
              <w:wordWrap/>
              <w:overflowPunct/>
              <w:topLinePunct w:val="0"/>
              <w:bidi w:val="0"/>
              <w:spacing w:before="244" w:line="560" w:lineRule="exact"/>
              <w:jc w:val="center"/>
              <w:rPr>
                <w:rFonts w:hint="eastAsia" w:ascii="Times New Roman" w:hAnsi="Times New Roman" w:eastAsia="仿宋_GB2312" w:cs="仿宋_GB2312"/>
                <w:snapToGrid w:val="0"/>
                <w:color w:val="000000"/>
                <w:spacing w:val="4"/>
                <w:kern w:val="0"/>
                <w:sz w:val="28"/>
                <w:szCs w:val="28"/>
                <w:highlight w:val="none"/>
                <w:lang w:val="en-US" w:eastAsia="zh-CN" w:bidi="ar-SA"/>
              </w:rPr>
            </w:pPr>
          </w:p>
        </w:tc>
      </w:tr>
      <w:tr w14:paraId="347AA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trPr>
        <w:tc>
          <w:tcPr>
            <w:tcW w:w="1740" w:type="dxa"/>
            <w:vMerge w:val="continue"/>
            <w:tcBorders>
              <w:top w:val="nil"/>
              <w:bottom w:val="nil"/>
            </w:tcBorders>
            <w:noWrap w:val="0"/>
            <w:vAlign w:val="top"/>
          </w:tcPr>
          <w:p w14:paraId="3FFB1C59">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1719" w:type="dxa"/>
            <w:noWrap w:val="0"/>
            <w:vAlign w:val="center"/>
          </w:tcPr>
          <w:p w14:paraId="397F6B1C">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2—2.9</w:t>
            </w:r>
          </w:p>
        </w:tc>
        <w:tc>
          <w:tcPr>
            <w:tcW w:w="1665" w:type="dxa"/>
            <w:noWrap w:val="0"/>
            <w:vAlign w:val="center"/>
          </w:tcPr>
          <w:p w14:paraId="1084BB20">
            <w:pPr>
              <w:pStyle w:val="9"/>
              <w:keepNext w:val="0"/>
              <w:keepLines w:val="0"/>
              <w:pageBreakBefore w:val="0"/>
              <w:wordWrap/>
              <w:overflowPunct/>
              <w:topLinePunct w:val="0"/>
              <w:bidi w:val="0"/>
              <w:spacing w:before="244" w:line="560" w:lineRule="exact"/>
              <w:ind w:left="0"/>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元/株</w:t>
            </w:r>
          </w:p>
        </w:tc>
        <w:tc>
          <w:tcPr>
            <w:tcW w:w="1710" w:type="dxa"/>
            <w:noWrap w:val="0"/>
            <w:vAlign w:val="center"/>
          </w:tcPr>
          <w:p w14:paraId="7C3ADB03">
            <w:pPr>
              <w:pStyle w:val="9"/>
              <w:keepNext w:val="0"/>
              <w:keepLines w:val="0"/>
              <w:pageBreakBefore w:val="0"/>
              <w:wordWrap/>
              <w:overflowPunct/>
              <w:topLinePunct w:val="0"/>
              <w:bidi w:val="0"/>
              <w:spacing w:before="316" w:line="560" w:lineRule="exact"/>
              <w:ind w:left="0"/>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12</w:t>
            </w:r>
          </w:p>
        </w:tc>
        <w:tc>
          <w:tcPr>
            <w:tcW w:w="1976" w:type="dxa"/>
            <w:noWrap w:val="0"/>
            <w:vAlign w:val="top"/>
          </w:tcPr>
          <w:p w14:paraId="2297161D">
            <w:pPr>
              <w:pStyle w:val="9"/>
              <w:keepNext w:val="0"/>
              <w:keepLines w:val="0"/>
              <w:pageBreakBefore w:val="0"/>
              <w:wordWrap/>
              <w:overflowPunct/>
              <w:topLinePunct w:val="0"/>
              <w:autoSpaceDE/>
              <w:autoSpaceDN/>
              <w:bidi w:val="0"/>
              <w:spacing w:before="244" w:line="560" w:lineRule="exact"/>
              <w:ind w:left="0" w:leftChars="0" w:right="0" w:rightChars="0"/>
              <w:jc w:val="center"/>
              <w:rPr>
                <w:rFonts w:hint="eastAsia" w:ascii="Times New Roman" w:hAnsi="Times New Roman" w:eastAsia="仿宋_GB2312" w:cs="仿宋_GB2312"/>
                <w:color w:val="000000"/>
                <w:spacing w:val="4"/>
                <w:sz w:val="28"/>
                <w:szCs w:val="28"/>
                <w:highlight w:val="none"/>
              </w:rPr>
            </w:pPr>
            <w:r>
              <w:rPr>
                <w:rFonts w:hint="eastAsia" w:ascii="Times New Roman" w:hAnsi="Times New Roman" w:eastAsia="仿宋_GB2312" w:cs="仿宋_GB2312"/>
                <w:color w:val="000000"/>
                <w:spacing w:val="4"/>
                <w:sz w:val="28"/>
                <w:szCs w:val="28"/>
                <w:highlight w:val="none"/>
              </w:rPr>
              <w:t xml:space="preserve">根据实际 </w:t>
            </w:r>
          </w:p>
          <w:p w14:paraId="1FC5B2FF">
            <w:pPr>
              <w:pStyle w:val="9"/>
              <w:keepNext w:val="0"/>
              <w:keepLines w:val="0"/>
              <w:pageBreakBefore w:val="0"/>
              <w:wordWrap/>
              <w:overflowPunct/>
              <w:topLinePunct w:val="0"/>
              <w:autoSpaceDE/>
              <w:autoSpaceDN/>
              <w:bidi w:val="0"/>
              <w:spacing w:before="244" w:line="560" w:lineRule="exact"/>
              <w:ind w:left="0" w:leftChars="0" w:right="0" w:rightChars="0"/>
              <w:jc w:val="center"/>
              <w:rPr>
                <w:rFonts w:hint="eastAsia" w:ascii="Times New Roman" w:hAnsi="Times New Roman" w:eastAsia="仿宋_GB2312" w:cs="仿宋_GB2312"/>
                <w:snapToGrid w:val="0"/>
                <w:color w:val="000000"/>
                <w:spacing w:val="4"/>
                <w:kern w:val="0"/>
                <w:sz w:val="28"/>
                <w:szCs w:val="28"/>
                <w:highlight w:val="none"/>
                <w:lang w:val="en-US" w:eastAsia="zh-CN" w:bidi="ar-SA"/>
              </w:rPr>
            </w:pPr>
            <w:r>
              <w:rPr>
                <w:rFonts w:hint="eastAsia" w:ascii="Times New Roman" w:hAnsi="Times New Roman" w:eastAsia="仿宋_GB2312" w:cs="仿宋_GB2312"/>
                <w:color w:val="000000"/>
                <w:spacing w:val="4"/>
                <w:sz w:val="28"/>
                <w:szCs w:val="28"/>
                <w:highlight w:val="none"/>
              </w:rPr>
              <w:t>生长情况</w:t>
            </w:r>
          </w:p>
        </w:tc>
      </w:tr>
      <w:tr w14:paraId="269C0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740" w:type="dxa"/>
            <w:vMerge w:val="continue"/>
            <w:tcBorders>
              <w:top w:val="nil"/>
              <w:bottom w:val="nil"/>
            </w:tcBorders>
            <w:noWrap w:val="0"/>
            <w:vAlign w:val="top"/>
          </w:tcPr>
          <w:p w14:paraId="7CCA3983">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1719" w:type="dxa"/>
            <w:noWrap w:val="0"/>
            <w:vAlign w:val="center"/>
          </w:tcPr>
          <w:p w14:paraId="44CBA744">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3—3.9</w:t>
            </w:r>
          </w:p>
        </w:tc>
        <w:tc>
          <w:tcPr>
            <w:tcW w:w="1665" w:type="dxa"/>
            <w:noWrap w:val="0"/>
            <w:vAlign w:val="center"/>
          </w:tcPr>
          <w:p w14:paraId="0A0375A6">
            <w:pPr>
              <w:pStyle w:val="9"/>
              <w:keepNext w:val="0"/>
              <w:keepLines w:val="0"/>
              <w:pageBreakBefore w:val="0"/>
              <w:wordWrap/>
              <w:overflowPunct/>
              <w:topLinePunct w:val="0"/>
              <w:bidi w:val="0"/>
              <w:spacing w:before="156" w:line="560" w:lineRule="exact"/>
              <w:ind w:left="0"/>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元/株</w:t>
            </w:r>
          </w:p>
        </w:tc>
        <w:tc>
          <w:tcPr>
            <w:tcW w:w="1710" w:type="dxa"/>
            <w:noWrap w:val="0"/>
            <w:vAlign w:val="center"/>
          </w:tcPr>
          <w:p w14:paraId="41DB1B97">
            <w:pPr>
              <w:pStyle w:val="9"/>
              <w:keepNext w:val="0"/>
              <w:keepLines w:val="0"/>
              <w:pageBreakBefore w:val="0"/>
              <w:wordWrap/>
              <w:overflowPunct/>
              <w:topLinePunct w:val="0"/>
              <w:bidi w:val="0"/>
              <w:spacing w:before="227" w:line="560" w:lineRule="exact"/>
              <w:ind w:left="0"/>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24</w:t>
            </w:r>
          </w:p>
        </w:tc>
        <w:tc>
          <w:tcPr>
            <w:tcW w:w="1976" w:type="dxa"/>
            <w:noWrap w:val="0"/>
            <w:vAlign w:val="top"/>
          </w:tcPr>
          <w:p w14:paraId="58BF0C63">
            <w:pPr>
              <w:pStyle w:val="9"/>
              <w:keepNext w:val="0"/>
              <w:keepLines w:val="0"/>
              <w:pageBreakBefore w:val="0"/>
              <w:wordWrap/>
              <w:overflowPunct/>
              <w:topLinePunct w:val="0"/>
              <w:bidi w:val="0"/>
              <w:spacing w:before="244" w:line="560" w:lineRule="exact"/>
              <w:ind w:left="0" w:leftChars="0"/>
              <w:jc w:val="center"/>
              <w:rPr>
                <w:rFonts w:hint="eastAsia" w:ascii="Times New Roman" w:hAnsi="Times New Roman" w:eastAsia="仿宋_GB2312" w:cs="仿宋_GB2312"/>
                <w:snapToGrid w:val="0"/>
                <w:color w:val="000000"/>
                <w:spacing w:val="4"/>
                <w:kern w:val="0"/>
                <w:sz w:val="28"/>
                <w:szCs w:val="28"/>
                <w:highlight w:val="none"/>
                <w:lang w:val="en-US" w:eastAsia="zh-CN" w:bidi="ar-SA"/>
              </w:rPr>
            </w:pPr>
            <w:r>
              <w:rPr>
                <w:rFonts w:hint="eastAsia" w:ascii="Times New Roman" w:hAnsi="Times New Roman" w:eastAsia="仿宋_GB2312" w:cs="仿宋_GB2312"/>
                <w:color w:val="000000"/>
                <w:spacing w:val="4"/>
                <w:sz w:val="28"/>
                <w:szCs w:val="28"/>
                <w:highlight w:val="none"/>
              </w:rPr>
              <w:t>含4cm 1.5m以上</w:t>
            </w:r>
          </w:p>
        </w:tc>
      </w:tr>
      <w:tr w14:paraId="2FD37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740" w:type="dxa"/>
            <w:vMerge w:val="continue"/>
            <w:tcBorders>
              <w:top w:val="nil"/>
              <w:bottom w:val="nil"/>
            </w:tcBorders>
            <w:noWrap w:val="0"/>
            <w:vAlign w:val="top"/>
          </w:tcPr>
          <w:p w14:paraId="76093A2B">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1719" w:type="dxa"/>
            <w:noWrap w:val="0"/>
            <w:vAlign w:val="center"/>
          </w:tcPr>
          <w:p w14:paraId="430FD690">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4—7.9</w:t>
            </w:r>
          </w:p>
        </w:tc>
        <w:tc>
          <w:tcPr>
            <w:tcW w:w="1665" w:type="dxa"/>
            <w:noWrap w:val="0"/>
            <w:vAlign w:val="center"/>
          </w:tcPr>
          <w:p w14:paraId="48709172">
            <w:pPr>
              <w:pStyle w:val="9"/>
              <w:keepNext w:val="0"/>
              <w:keepLines w:val="0"/>
              <w:pageBreakBefore w:val="0"/>
              <w:wordWrap/>
              <w:overflowPunct/>
              <w:topLinePunct w:val="0"/>
              <w:bidi w:val="0"/>
              <w:spacing w:before="157" w:line="560" w:lineRule="exact"/>
              <w:ind w:left="0"/>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元/株</w:t>
            </w:r>
          </w:p>
        </w:tc>
        <w:tc>
          <w:tcPr>
            <w:tcW w:w="1710" w:type="dxa"/>
            <w:noWrap w:val="0"/>
            <w:vAlign w:val="center"/>
          </w:tcPr>
          <w:p w14:paraId="6B2B5D3E">
            <w:pPr>
              <w:pStyle w:val="9"/>
              <w:keepNext w:val="0"/>
              <w:keepLines w:val="0"/>
              <w:pageBreakBefore w:val="0"/>
              <w:wordWrap/>
              <w:overflowPunct/>
              <w:topLinePunct w:val="0"/>
              <w:bidi w:val="0"/>
              <w:spacing w:before="228" w:line="560" w:lineRule="exact"/>
              <w:ind w:left="0"/>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50</w:t>
            </w:r>
          </w:p>
        </w:tc>
        <w:tc>
          <w:tcPr>
            <w:tcW w:w="1976" w:type="dxa"/>
            <w:noWrap w:val="0"/>
            <w:vAlign w:val="top"/>
          </w:tcPr>
          <w:p w14:paraId="0C6EC63F">
            <w:pPr>
              <w:pStyle w:val="9"/>
              <w:keepNext w:val="0"/>
              <w:keepLines w:val="0"/>
              <w:pageBreakBefore w:val="0"/>
              <w:wordWrap/>
              <w:overflowPunct/>
              <w:topLinePunct w:val="0"/>
              <w:bidi w:val="0"/>
              <w:spacing w:before="244" w:line="560" w:lineRule="exact"/>
              <w:ind w:left="0" w:leftChars="0"/>
              <w:jc w:val="center"/>
              <w:rPr>
                <w:rFonts w:hint="eastAsia" w:ascii="Times New Roman" w:hAnsi="Times New Roman" w:eastAsia="仿宋_GB2312" w:cs="仿宋_GB2312"/>
                <w:snapToGrid w:val="0"/>
                <w:color w:val="000000"/>
                <w:spacing w:val="4"/>
                <w:kern w:val="0"/>
                <w:sz w:val="28"/>
                <w:szCs w:val="28"/>
                <w:highlight w:val="none"/>
                <w:lang w:val="en-US" w:eastAsia="zh-CN" w:bidi="ar-SA"/>
              </w:rPr>
            </w:pPr>
            <w:r>
              <w:rPr>
                <w:rFonts w:hint="eastAsia" w:ascii="Times New Roman" w:hAnsi="Times New Roman" w:eastAsia="仿宋_GB2312" w:cs="仿宋_GB2312"/>
                <w:color w:val="000000"/>
                <w:spacing w:val="4"/>
                <w:sz w:val="28"/>
                <w:szCs w:val="28"/>
                <w:highlight w:val="none"/>
              </w:rPr>
              <w:t>含8cm 1.5m以上</w:t>
            </w:r>
          </w:p>
        </w:tc>
      </w:tr>
      <w:tr w14:paraId="16F47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1740" w:type="dxa"/>
            <w:vMerge w:val="continue"/>
            <w:tcBorders>
              <w:top w:val="nil"/>
              <w:bottom w:val="nil"/>
            </w:tcBorders>
            <w:noWrap w:val="0"/>
            <w:vAlign w:val="top"/>
          </w:tcPr>
          <w:p w14:paraId="48646520">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1719" w:type="dxa"/>
            <w:noWrap w:val="0"/>
            <w:vAlign w:val="center"/>
          </w:tcPr>
          <w:p w14:paraId="7F1F5C23">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8以上</w:t>
            </w:r>
          </w:p>
        </w:tc>
        <w:tc>
          <w:tcPr>
            <w:tcW w:w="1665" w:type="dxa"/>
            <w:noWrap w:val="0"/>
            <w:vAlign w:val="center"/>
          </w:tcPr>
          <w:p w14:paraId="276E3FB3">
            <w:pPr>
              <w:pStyle w:val="9"/>
              <w:keepNext w:val="0"/>
              <w:keepLines w:val="0"/>
              <w:pageBreakBefore w:val="0"/>
              <w:wordWrap/>
              <w:overflowPunct/>
              <w:topLinePunct w:val="0"/>
              <w:bidi w:val="0"/>
              <w:spacing w:before="158" w:line="560" w:lineRule="exact"/>
              <w:ind w:left="0"/>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元/株</w:t>
            </w:r>
          </w:p>
        </w:tc>
        <w:tc>
          <w:tcPr>
            <w:tcW w:w="1710" w:type="dxa"/>
            <w:noWrap w:val="0"/>
            <w:vAlign w:val="center"/>
          </w:tcPr>
          <w:p w14:paraId="1E457759">
            <w:pPr>
              <w:pStyle w:val="9"/>
              <w:keepNext w:val="0"/>
              <w:keepLines w:val="0"/>
              <w:pageBreakBefore w:val="0"/>
              <w:wordWrap/>
              <w:overflowPunct/>
              <w:topLinePunct w:val="0"/>
              <w:bidi w:val="0"/>
              <w:spacing w:before="229" w:line="560" w:lineRule="exact"/>
              <w:ind w:left="0"/>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4"/>
                <w:sz w:val="28"/>
                <w:szCs w:val="28"/>
                <w:highlight w:val="none"/>
                <w:lang w:val="en-US" w:eastAsia="zh-CN"/>
              </w:rPr>
              <w:t>70</w:t>
            </w:r>
          </w:p>
        </w:tc>
        <w:tc>
          <w:tcPr>
            <w:tcW w:w="1976" w:type="dxa"/>
            <w:noWrap w:val="0"/>
            <w:vAlign w:val="top"/>
          </w:tcPr>
          <w:p w14:paraId="522A77C2">
            <w:pPr>
              <w:pStyle w:val="9"/>
              <w:keepNext w:val="0"/>
              <w:keepLines w:val="0"/>
              <w:pageBreakBefore w:val="0"/>
              <w:wordWrap/>
              <w:overflowPunct/>
              <w:topLinePunct w:val="0"/>
              <w:bidi w:val="0"/>
              <w:spacing w:before="244" w:line="560" w:lineRule="exact"/>
              <w:ind w:left="0" w:leftChars="0"/>
              <w:jc w:val="center"/>
              <w:rPr>
                <w:rFonts w:hint="eastAsia" w:ascii="Times New Roman" w:hAnsi="Times New Roman" w:eastAsia="仿宋_GB2312" w:cs="仿宋_GB2312"/>
                <w:snapToGrid w:val="0"/>
                <w:color w:val="000000"/>
                <w:spacing w:val="4"/>
                <w:kern w:val="0"/>
                <w:sz w:val="28"/>
                <w:szCs w:val="28"/>
                <w:highlight w:val="none"/>
                <w:lang w:val="en-US" w:eastAsia="zh-CN" w:bidi="ar-SA"/>
              </w:rPr>
            </w:pPr>
            <w:r>
              <w:rPr>
                <w:rFonts w:hint="eastAsia" w:ascii="Times New Roman" w:hAnsi="Times New Roman" w:eastAsia="仿宋_GB2312" w:cs="仿宋_GB2312"/>
                <w:color w:val="000000"/>
                <w:spacing w:val="4"/>
                <w:sz w:val="28"/>
                <w:szCs w:val="28"/>
                <w:highlight w:val="none"/>
              </w:rPr>
              <w:t>高2m以上</w:t>
            </w:r>
          </w:p>
        </w:tc>
      </w:tr>
      <w:tr w14:paraId="7DB8B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740" w:type="dxa"/>
            <w:vMerge w:val="continue"/>
            <w:tcBorders>
              <w:top w:val="nil"/>
            </w:tcBorders>
            <w:noWrap w:val="0"/>
            <w:vAlign w:val="top"/>
          </w:tcPr>
          <w:p w14:paraId="034D31FB">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7070" w:type="dxa"/>
            <w:gridSpan w:val="4"/>
            <w:noWrap w:val="0"/>
            <w:vAlign w:val="center"/>
          </w:tcPr>
          <w:p w14:paraId="35D051D9">
            <w:pPr>
              <w:keepNext w:val="0"/>
              <w:keepLines w:val="0"/>
              <w:pageBreakBefore w:val="0"/>
              <w:widowControl/>
              <w:suppressLineNumbers w:val="0"/>
              <w:kinsoku w:val="0"/>
              <w:wordWrap/>
              <w:overflowPunct/>
              <w:topLinePunct w:val="0"/>
              <w:autoSpaceDE w:val="0"/>
              <w:autoSpaceDN w:val="0"/>
              <w:bidi w:val="0"/>
              <w:adjustRightInd w:val="0"/>
              <w:snapToGrid w:val="0"/>
              <w:spacing w:line="560" w:lineRule="exact"/>
              <w:jc w:val="left"/>
              <w:textAlignment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b/>
                <w:bCs/>
                <w:i w:val="0"/>
                <w:iCs w:val="0"/>
                <w:snapToGrid w:val="0"/>
                <w:color w:val="000000"/>
                <w:kern w:val="0"/>
                <w:sz w:val="28"/>
                <w:szCs w:val="28"/>
                <w:highlight w:val="none"/>
                <w:u w:val="none"/>
                <w:lang w:val="en-US" w:eastAsia="zh-CN" w:bidi="ar"/>
              </w:rPr>
              <w:t>说明：</w:t>
            </w:r>
            <w:r>
              <w:rPr>
                <w:rFonts w:hint="eastAsia" w:ascii="Times New Roman" w:hAnsi="Times New Roman" w:eastAsia="仿宋_GB2312" w:cs="仿宋_GB2312"/>
                <w:color w:val="000000"/>
                <w:sz w:val="28"/>
                <w:szCs w:val="28"/>
                <w:highlight w:val="none"/>
              </w:rPr>
              <w:t>最大亩载量不超过</w:t>
            </w:r>
            <w:r>
              <w:rPr>
                <w:rFonts w:hint="eastAsia" w:ascii="Times New Roman" w:hAnsi="Times New Roman" w:eastAsia="仿宋_GB2312" w:cs="仿宋_GB2312"/>
                <w:color w:val="000000"/>
                <w:sz w:val="28"/>
                <w:szCs w:val="28"/>
                <w:highlight w:val="none"/>
                <w:lang w:val="en-US" w:eastAsia="zh-CN"/>
              </w:rPr>
              <w:t>7</w:t>
            </w:r>
            <w:r>
              <w:rPr>
                <w:rFonts w:hint="eastAsia" w:ascii="Times New Roman" w:hAnsi="Times New Roman" w:eastAsia="仿宋_GB2312" w:cs="仿宋_GB2312"/>
                <w:color w:val="000000"/>
                <w:sz w:val="28"/>
                <w:szCs w:val="28"/>
                <w:highlight w:val="none"/>
              </w:rPr>
              <w:t>00株。</w:t>
            </w:r>
          </w:p>
        </w:tc>
      </w:tr>
    </w:tbl>
    <w:p w14:paraId="17F030A0">
      <w:pPr>
        <w:keepNext w:val="0"/>
        <w:keepLines w:val="0"/>
        <w:pageBreakBefore w:val="0"/>
        <w:wordWrap/>
        <w:overflowPunct/>
        <w:topLinePunct w:val="0"/>
        <w:bidi w:val="0"/>
        <w:spacing w:before="101" w:line="560" w:lineRule="exact"/>
        <w:ind w:firstLine="610" w:firstLineChars="200"/>
        <w:outlineLvl w:val="6"/>
        <w:rPr>
          <w:rFonts w:ascii="Times New Roman" w:hAnsi="Times New Roman"/>
          <w:color w:val="000000"/>
          <w:sz w:val="2"/>
          <w:highlight w:val="none"/>
        </w:rPr>
      </w:pPr>
      <w:r>
        <w:rPr>
          <w:rFonts w:hint="eastAsia" w:ascii="Times New Roman" w:hAnsi="Times New Roman" w:eastAsia="宋体" w:cs="宋体"/>
          <w:b/>
          <w:bCs/>
          <w:color w:val="000000"/>
          <w:spacing w:val="-3"/>
          <w:sz w:val="31"/>
          <w:szCs w:val="31"/>
          <w:highlight w:val="none"/>
          <w:lang w:val="en-US" w:eastAsia="zh-CN"/>
        </w:rPr>
        <w:t>五</w:t>
      </w:r>
      <w:r>
        <w:rPr>
          <w:rFonts w:ascii="Times New Roman" w:hAnsi="Times New Roman" w:eastAsia="宋体" w:cs="宋体"/>
          <w:b/>
          <w:bCs/>
          <w:color w:val="000000"/>
          <w:spacing w:val="-3"/>
          <w:sz w:val="31"/>
          <w:szCs w:val="31"/>
          <w:highlight w:val="none"/>
        </w:rPr>
        <w:t>、国槐、刺槐、杨树</w:t>
      </w:r>
    </w:p>
    <w:tbl>
      <w:tblPr>
        <w:tblStyle w:val="10"/>
        <w:tblW w:w="493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41"/>
        <w:gridCol w:w="1842"/>
        <w:gridCol w:w="1854"/>
        <w:gridCol w:w="1760"/>
        <w:gridCol w:w="1745"/>
      </w:tblGrid>
      <w:tr w14:paraId="29E56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881" w:type="pct"/>
            <w:noWrap w:val="0"/>
            <w:vAlign w:val="top"/>
          </w:tcPr>
          <w:p w14:paraId="503DF9CD">
            <w:pPr>
              <w:pStyle w:val="9"/>
              <w:keepNext w:val="0"/>
              <w:keepLines w:val="0"/>
              <w:pageBreakBefore w:val="0"/>
              <w:wordWrap/>
              <w:overflowPunct/>
              <w:topLinePunct w:val="0"/>
              <w:bidi w:val="0"/>
              <w:spacing w:before="283" w:line="560" w:lineRule="exact"/>
              <w:ind w:left="819"/>
              <w:rPr>
                <w:rFonts w:ascii="Times New Roman" w:hAnsi="Times New Roman"/>
                <w:color w:val="000000"/>
                <w:sz w:val="28"/>
                <w:szCs w:val="28"/>
                <w:highlight w:val="none"/>
              </w:rPr>
            </w:pPr>
            <w:r>
              <w:rPr>
                <w:rFonts w:ascii="Times New Roman" w:hAnsi="Times New Roman"/>
                <w:b/>
                <w:bCs/>
                <w:color w:val="000000"/>
                <w:spacing w:val="3"/>
                <w:sz w:val="28"/>
                <w:szCs w:val="28"/>
                <w:highlight w:val="none"/>
              </w:rPr>
              <w:t>品种</w:t>
            </w:r>
          </w:p>
        </w:tc>
        <w:tc>
          <w:tcPr>
            <w:tcW w:w="1053" w:type="pct"/>
            <w:noWrap w:val="0"/>
            <w:vAlign w:val="top"/>
          </w:tcPr>
          <w:p w14:paraId="49AA7840">
            <w:pPr>
              <w:pStyle w:val="9"/>
              <w:keepNext w:val="0"/>
              <w:keepLines w:val="0"/>
              <w:pageBreakBefore w:val="0"/>
              <w:wordWrap/>
              <w:overflowPunct/>
              <w:topLinePunct w:val="0"/>
              <w:bidi w:val="0"/>
              <w:spacing w:before="81" w:line="560" w:lineRule="exact"/>
              <w:ind w:left="416" w:leftChars="0" w:right="431" w:rightChars="0"/>
              <w:jc w:val="center"/>
              <w:rPr>
                <w:rFonts w:ascii="Times New Roman" w:hAnsi="Times New Roman"/>
                <w:color w:val="000000"/>
                <w:sz w:val="28"/>
                <w:szCs w:val="28"/>
                <w:highlight w:val="none"/>
              </w:rPr>
            </w:pPr>
            <w:r>
              <w:rPr>
                <w:rFonts w:ascii="Times New Roman" w:hAnsi="Times New Roman"/>
                <w:b/>
                <w:bCs/>
                <w:color w:val="000000"/>
                <w:spacing w:val="-8"/>
                <w:sz w:val="28"/>
                <w:szCs w:val="28"/>
                <w:highlight w:val="none"/>
              </w:rPr>
              <w:t>胸径</w:t>
            </w:r>
            <w:r>
              <w:rPr>
                <w:rFonts w:ascii="Times New Roman" w:hAnsi="Times New Roman"/>
                <w:color w:val="000000"/>
                <w:sz w:val="28"/>
                <w:szCs w:val="28"/>
                <w:highlight w:val="none"/>
              </w:rPr>
              <w:t xml:space="preserve"> </w:t>
            </w:r>
            <w:r>
              <w:rPr>
                <w:rFonts w:ascii="Times New Roman" w:hAnsi="Times New Roman"/>
                <w:b/>
                <w:bCs/>
                <w:color w:val="000000"/>
                <w:spacing w:val="-15"/>
                <w:sz w:val="28"/>
                <w:szCs w:val="28"/>
                <w:highlight w:val="none"/>
              </w:rPr>
              <w:t>(cm)</w:t>
            </w:r>
          </w:p>
        </w:tc>
        <w:tc>
          <w:tcPr>
            <w:tcW w:w="1060" w:type="pct"/>
            <w:noWrap w:val="0"/>
            <w:vAlign w:val="top"/>
          </w:tcPr>
          <w:p w14:paraId="1A44514E">
            <w:pPr>
              <w:pStyle w:val="9"/>
              <w:keepNext w:val="0"/>
              <w:keepLines w:val="0"/>
              <w:pageBreakBefore w:val="0"/>
              <w:wordWrap/>
              <w:overflowPunct/>
              <w:topLinePunct w:val="0"/>
              <w:bidi w:val="0"/>
              <w:spacing w:before="273" w:line="560" w:lineRule="exact"/>
              <w:ind w:left="288" w:leftChars="0"/>
              <w:rPr>
                <w:rFonts w:ascii="Times New Roman" w:hAnsi="Times New Roman"/>
                <w:color w:val="000000"/>
                <w:sz w:val="28"/>
                <w:szCs w:val="28"/>
                <w:highlight w:val="none"/>
              </w:rPr>
            </w:pPr>
            <w:r>
              <w:rPr>
                <w:rFonts w:hint="eastAsia" w:ascii="Times New Roman" w:hAnsi="Times New Roman" w:eastAsia="黑体" w:cs="黑体"/>
                <w:b w:val="0"/>
                <w:bCs w:val="0"/>
                <w:color w:val="000000"/>
                <w:spacing w:val="-7"/>
                <w:sz w:val="32"/>
                <w:szCs w:val="32"/>
                <w:highlight w:val="none"/>
              </w:rPr>
              <w:t>单位</w:t>
            </w:r>
          </w:p>
        </w:tc>
        <w:tc>
          <w:tcPr>
            <w:tcW w:w="1006" w:type="pct"/>
            <w:noWrap w:val="0"/>
            <w:vAlign w:val="top"/>
          </w:tcPr>
          <w:p w14:paraId="6004D458">
            <w:pPr>
              <w:pStyle w:val="9"/>
              <w:keepNext w:val="0"/>
              <w:keepLines w:val="0"/>
              <w:pageBreakBefore w:val="0"/>
              <w:wordWrap/>
              <w:overflowPunct/>
              <w:topLinePunct w:val="0"/>
              <w:bidi w:val="0"/>
              <w:spacing w:before="79" w:line="560" w:lineRule="exact"/>
              <w:ind w:left="220" w:right="91" w:hanging="140"/>
              <w:jc w:val="center"/>
              <w:rPr>
                <w:rFonts w:ascii="Times New Roman" w:hAnsi="Times New Roman"/>
                <w:color w:val="000000"/>
                <w:spacing w:val="1"/>
                <w:sz w:val="28"/>
                <w:szCs w:val="28"/>
                <w:highlight w:val="none"/>
              </w:rPr>
            </w:pPr>
            <w:r>
              <w:rPr>
                <w:rFonts w:ascii="Times New Roman" w:hAnsi="Times New Roman"/>
                <w:b/>
                <w:bCs/>
                <w:color w:val="000000"/>
                <w:spacing w:val="-8"/>
                <w:sz w:val="28"/>
                <w:szCs w:val="28"/>
                <w:highlight w:val="none"/>
              </w:rPr>
              <w:t>参考价</w:t>
            </w:r>
          </w:p>
          <w:p w14:paraId="6F3A3AD6">
            <w:pPr>
              <w:pStyle w:val="9"/>
              <w:keepNext w:val="0"/>
              <w:keepLines w:val="0"/>
              <w:pageBreakBefore w:val="0"/>
              <w:wordWrap/>
              <w:overflowPunct/>
              <w:topLinePunct w:val="0"/>
              <w:bidi w:val="0"/>
              <w:spacing w:before="79" w:line="560" w:lineRule="exact"/>
              <w:ind w:left="220" w:right="91" w:hanging="140"/>
              <w:jc w:val="center"/>
              <w:rPr>
                <w:rFonts w:ascii="Times New Roman" w:hAnsi="Times New Roman"/>
                <w:color w:val="000000"/>
                <w:sz w:val="28"/>
                <w:szCs w:val="28"/>
                <w:highlight w:val="none"/>
              </w:rPr>
            </w:pPr>
            <w:r>
              <w:rPr>
                <w:rFonts w:ascii="Times New Roman" w:hAnsi="Times New Roman"/>
                <w:b/>
                <w:bCs/>
                <w:color w:val="000000"/>
                <w:spacing w:val="14"/>
                <w:sz w:val="28"/>
                <w:szCs w:val="28"/>
                <w:highlight w:val="none"/>
              </w:rPr>
              <w:t>(元)</w:t>
            </w:r>
          </w:p>
        </w:tc>
        <w:tc>
          <w:tcPr>
            <w:tcW w:w="997" w:type="pct"/>
            <w:noWrap w:val="0"/>
            <w:vAlign w:val="top"/>
          </w:tcPr>
          <w:p w14:paraId="52C79A6C">
            <w:pPr>
              <w:pStyle w:val="9"/>
              <w:keepNext w:val="0"/>
              <w:keepLines w:val="0"/>
              <w:pageBreakBefore w:val="0"/>
              <w:wordWrap/>
              <w:overflowPunct/>
              <w:topLinePunct w:val="0"/>
              <w:bidi w:val="0"/>
              <w:spacing w:before="284" w:line="560" w:lineRule="exact"/>
              <w:ind w:left="532"/>
              <w:rPr>
                <w:rFonts w:ascii="Times New Roman" w:hAnsi="Times New Roman"/>
                <w:color w:val="000000"/>
                <w:sz w:val="28"/>
                <w:szCs w:val="28"/>
                <w:highlight w:val="none"/>
              </w:rPr>
            </w:pPr>
            <w:r>
              <w:rPr>
                <w:rFonts w:ascii="Times New Roman" w:hAnsi="Times New Roman"/>
                <w:b/>
                <w:bCs/>
                <w:color w:val="000000"/>
                <w:sz w:val="28"/>
                <w:szCs w:val="28"/>
                <w:highlight w:val="none"/>
              </w:rPr>
              <w:t>备注</w:t>
            </w:r>
          </w:p>
        </w:tc>
      </w:tr>
      <w:tr w14:paraId="01A36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881" w:type="pct"/>
            <w:vMerge w:val="restart"/>
            <w:tcBorders>
              <w:bottom w:val="nil"/>
            </w:tcBorders>
            <w:noWrap w:val="0"/>
            <w:vAlign w:val="center"/>
          </w:tcPr>
          <w:p w14:paraId="17859BA4">
            <w:pPr>
              <w:keepNext w:val="0"/>
              <w:keepLines w:val="0"/>
              <w:pageBreakBefore w:val="0"/>
              <w:wordWrap/>
              <w:overflowPunct/>
              <w:topLinePunct w:val="0"/>
              <w:bidi w:val="0"/>
              <w:spacing w:before="101" w:line="560" w:lineRule="exact"/>
              <w:jc w:val="center"/>
              <w:outlineLvl w:val="6"/>
              <w:rPr>
                <w:rFonts w:hint="eastAsia" w:ascii="Times New Roman" w:hAnsi="Times New Roman" w:eastAsia="仿宋_GB2312" w:cs="仿宋_GB2312"/>
                <w:b w:val="0"/>
                <w:bCs w:val="0"/>
                <w:color w:val="000000"/>
                <w:spacing w:val="-3"/>
                <w:sz w:val="28"/>
                <w:szCs w:val="28"/>
                <w:highlight w:val="none"/>
              </w:rPr>
            </w:pPr>
            <w:r>
              <w:rPr>
                <w:rFonts w:hint="eastAsia" w:ascii="Times New Roman" w:hAnsi="Times New Roman" w:eastAsia="仿宋_GB2312" w:cs="仿宋_GB2312"/>
                <w:b w:val="0"/>
                <w:bCs w:val="0"/>
                <w:color w:val="000000"/>
                <w:spacing w:val="-3"/>
                <w:sz w:val="28"/>
                <w:szCs w:val="28"/>
                <w:highlight w:val="none"/>
              </w:rPr>
              <w:t>国槐</w:t>
            </w:r>
          </w:p>
          <w:p w14:paraId="061D828A">
            <w:pPr>
              <w:keepNext w:val="0"/>
              <w:keepLines w:val="0"/>
              <w:pageBreakBefore w:val="0"/>
              <w:wordWrap/>
              <w:overflowPunct/>
              <w:topLinePunct w:val="0"/>
              <w:bidi w:val="0"/>
              <w:spacing w:before="101" w:line="560" w:lineRule="exact"/>
              <w:jc w:val="center"/>
              <w:outlineLvl w:val="6"/>
              <w:rPr>
                <w:rFonts w:hint="eastAsia" w:ascii="Times New Roman" w:hAnsi="Times New Roman" w:eastAsia="仿宋_GB2312" w:cs="仿宋_GB2312"/>
                <w:b w:val="0"/>
                <w:bCs w:val="0"/>
                <w:color w:val="000000"/>
                <w:spacing w:val="-3"/>
                <w:sz w:val="28"/>
                <w:szCs w:val="28"/>
                <w:highlight w:val="none"/>
              </w:rPr>
            </w:pPr>
            <w:r>
              <w:rPr>
                <w:rFonts w:hint="eastAsia" w:ascii="Times New Roman" w:hAnsi="Times New Roman" w:eastAsia="仿宋_GB2312" w:cs="仿宋_GB2312"/>
                <w:b w:val="0"/>
                <w:bCs w:val="0"/>
                <w:color w:val="000000"/>
                <w:spacing w:val="-3"/>
                <w:sz w:val="28"/>
                <w:szCs w:val="28"/>
                <w:highlight w:val="none"/>
              </w:rPr>
              <w:t>刺槐</w:t>
            </w:r>
          </w:p>
          <w:p w14:paraId="5D6A3AEB">
            <w:pPr>
              <w:keepNext w:val="0"/>
              <w:keepLines w:val="0"/>
              <w:pageBreakBefore w:val="0"/>
              <w:wordWrap/>
              <w:overflowPunct/>
              <w:topLinePunct w:val="0"/>
              <w:bidi w:val="0"/>
              <w:spacing w:before="101" w:line="560" w:lineRule="exact"/>
              <w:jc w:val="center"/>
              <w:outlineLvl w:val="6"/>
              <w:rPr>
                <w:rFonts w:hint="eastAsia" w:ascii="Times New Roman" w:hAnsi="Times New Roman" w:eastAsia="仿宋_GB2312" w:cs="仿宋_GB2312"/>
                <w:b w:val="0"/>
                <w:bCs w:val="0"/>
                <w:color w:val="000000"/>
                <w:sz w:val="28"/>
                <w:szCs w:val="28"/>
                <w:highlight w:val="none"/>
              </w:rPr>
            </w:pPr>
            <w:r>
              <w:rPr>
                <w:rFonts w:hint="eastAsia" w:ascii="Times New Roman" w:hAnsi="Times New Roman" w:eastAsia="仿宋_GB2312" w:cs="仿宋_GB2312"/>
                <w:b w:val="0"/>
                <w:bCs w:val="0"/>
                <w:color w:val="000000"/>
                <w:spacing w:val="-3"/>
                <w:sz w:val="28"/>
                <w:szCs w:val="28"/>
                <w:highlight w:val="none"/>
              </w:rPr>
              <w:t>杨树</w:t>
            </w:r>
          </w:p>
          <w:p w14:paraId="0728F39D">
            <w:pPr>
              <w:pStyle w:val="9"/>
              <w:keepNext w:val="0"/>
              <w:keepLines w:val="0"/>
              <w:pageBreakBefore w:val="0"/>
              <w:wordWrap/>
              <w:overflowPunct/>
              <w:topLinePunct w:val="0"/>
              <w:bidi w:val="0"/>
              <w:spacing w:before="91" w:line="560" w:lineRule="exact"/>
              <w:ind w:right="807"/>
              <w:jc w:val="center"/>
              <w:rPr>
                <w:rFonts w:hint="eastAsia" w:ascii="Times New Roman" w:hAnsi="Times New Roman" w:eastAsia="仿宋_GB2312" w:cs="仿宋_GB2312"/>
                <w:color w:val="000000"/>
                <w:sz w:val="28"/>
                <w:szCs w:val="28"/>
                <w:highlight w:val="none"/>
              </w:rPr>
            </w:pPr>
          </w:p>
        </w:tc>
        <w:tc>
          <w:tcPr>
            <w:tcW w:w="1053" w:type="pct"/>
            <w:noWrap w:val="0"/>
            <w:vAlign w:val="top"/>
          </w:tcPr>
          <w:p w14:paraId="725478F1">
            <w:pPr>
              <w:pStyle w:val="9"/>
              <w:keepNext w:val="0"/>
              <w:keepLines w:val="0"/>
              <w:pageBreakBefore w:val="0"/>
              <w:wordWrap/>
              <w:overflowPunct/>
              <w:topLinePunct w:val="0"/>
              <w:bidi w:val="0"/>
              <w:spacing w:before="230" w:line="560" w:lineRule="exact"/>
              <w:ind w:left="0" w:leftChars="0"/>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pacing w:val="0"/>
                <w:sz w:val="28"/>
                <w:szCs w:val="28"/>
                <w:highlight w:val="none"/>
                <w:lang w:eastAsia="zh-CN"/>
              </w:rPr>
              <w:t>1—1.9</w:t>
            </w:r>
          </w:p>
        </w:tc>
        <w:tc>
          <w:tcPr>
            <w:tcW w:w="1060" w:type="pct"/>
            <w:noWrap w:val="0"/>
            <w:vAlign w:val="top"/>
          </w:tcPr>
          <w:p w14:paraId="31A91C95">
            <w:pPr>
              <w:pStyle w:val="9"/>
              <w:keepNext w:val="0"/>
              <w:keepLines w:val="0"/>
              <w:pageBreakBefore w:val="0"/>
              <w:wordWrap/>
              <w:overflowPunct/>
              <w:topLinePunct w:val="0"/>
              <w:bidi w:val="0"/>
              <w:spacing w:before="230" w:line="560" w:lineRule="exact"/>
              <w:ind w:left="0"/>
              <w:jc w:val="center"/>
              <w:rPr>
                <w:rFonts w:hint="eastAsia"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0"/>
                <w:sz w:val="28"/>
                <w:szCs w:val="28"/>
                <w:highlight w:val="none"/>
                <w:lang w:eastAsia="zh-CN"/>
              </w:rPr>
              <w:t>元/株</w:t>
            </w:r>
          </w:p>
        </w:tc>
        <w:tc>
          <w:tcPr>
            <w:tcW w:w="1006" w:type="pct"/>
            <w:noWrap w:val="0"/>
            <w:vAlign w:val="top"/>
          </w:tcPr>
          <w:p w14:paraId="0682D0C3">
            <w:pPr>
              <w:pStyle w:val="9"/>
              <w:keepNext w:val="0"/>
              <w:keepLines w:val="0"/>
              <w:pageBreakBefore w:val="0"/>
              <w:wordWrap/>
              <w:overflowPunct/>
              <w:topLinePunct w:val="0"/>
              <w:bidi w:val="0"/>
              <w:spacing w:before="230" w:line="560" w:lineRule="exact"/>
              <w:ind w:left="0"/>
              <w:jc w:val="center"/>
              <w:rPr>
                <w:rFonts w:hint="default"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0"/>
                <w:sz w:val="28"/>
                <w:szCs w:val="28"/>
                <w:highlight w:val="none"/>
                <w:lang w:val="en-US" w:eastAsia="zh-CN"/>
              </w:rPr>
              <w:t>20</w:t>
            </w:r>
          </w:p>
        </w:tc>
        <w:tc>
          <w:tcPr>
            <w:tcW w:w="1745" w:type="dxa"/>
            <w:noWrap w:val="0"/>
            <w:vAlign w:val="top"/>
          </w:tcPr>
          <w:p w14:paraId="061BC8FF">
            <w:pPr>
              <w:pStyle w:val="9"/>
              <w:keepNext w:val="0"/>
              <w:keepLines w:val="0"/>
              <w:pageBreakBefore w:val="0"/>
              <w:wordWrap/>
              <w:overflowPunct/>
              <w:topLinePunct w:val="0"/>
              <w:bidi w:val="0"/>
              <w:spacing w:before="64" w:line="560" w:lineRule="exact"/>
              <w:ind w:left="248" w:leftChars="0" w:right="232" w:rightChars="0"/>
              <w:rPr>
                <w:rFonts w:hint="eastAsia" w:ascii="Times New Roman" w:hAnsi="Times New Roman" w:eastAsia="宋体" w:cs="宋体"/>
                <w:snapToGrid w:val="0"/>
                <w:color w:val="000000"/>
                <w:kern w:val="0"/>
                <w:sz w:val="28"/>
                <w:szCs w:val="28"/>
                <w:highlight w:val="none"/>
                <w:lang w:val="en-US" w:eastAsia="zh-CN" w:bidi="ar-SA"/>
              </w:rPr>
            </w:pPr>
            <w:r>
              <w:rPr>
                <w:rFonts w:ascii="Times New Roman" w:hAnsi="Times New Roman"/>
                <w:color w:val="000000"/>
                <w:spacing w:val="3"/>
                <w:sz w:val="28"/>
                <w:szCs w:val="28"/>
                <w:highlight w:val="none"/>
              </w:rPr>
              <w:t>根据实际</w:t>
            </w:r>
            <w:r>
              <w:rPr>
                <w:rFonts w:ascii="Times New Roman" w:hAnsi="Times New Roman"/>
                <w:color w:val="000000"/>
                <w:sz w:val="28"/>
                <w:szCs w:val="28"/>
                <w:highlight w:val="none"/>
              </w:rPr>
              <w:t xml:space="preserve"> </w:t>
            </w:r>
            <w:r>
              <w:rPr>
                <w:rFonts w:ascii="Times New Roman" w:hAnsi="Times New Roman"/>
                <w:color w:val="000000"/>
                <w:spacing w:val="3"/>
                <w:sz w:val="28"/>
                <w:szCs w:val="28"/>
                <w:highlight w:val="none"/>
              </w:rPr>
              <w:t>生长情况</w:t>
            </w:r>
          </w:p>
        </w:tc>
      </w:tr>
      <w:tr w14:paraId="50DEC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881" w:type="pct"/>
            <w:vMerge w:val="continue"/>
            <w:tcBorders>
              <w:top w:val="nil"/>
              <w:bottom w:val="nil"/>
            </w:tcBorders>
            <w:noWrap w:val="0"/>
            <w:vAlign w:val="top"/>
          </w:tcPr>
          <w:p w14:paraId="76BCFAA5">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1053" w:type="pct"/>
            <w:noWrap w:val="0"/>
            <w:vAlign w:val="top"/>
          </w:tcPr>
          <w:p w14:paraId="0686B898">
            <w:pPr>
              <w:pStyle w:val="9"/>
              <w:keepNext w:val="0"/>
              <w:keepLines w:val="0"/>
              <w:pageBreakBefore w:val="0"/>
              <w:wordWrap/>
              <w:overflowPunct/>
              <w:topLinePunct w:val="0"/>
              <w:bidi w:val="0"/>
              <w:spacing w:before="230" w:line="560" w:lineRule="exact"/>
              <w:ind w:left="0" w:leftChars="0"/>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pacing w:val="0"/>
                <w:sz w:val="28"/>
                <w:szCs w:val="28"/>
                <w:highlight w:val="none"/>
                <w:lang w:eastAsia="zh-CN"/>
              </w:rPr>
              <w:t>2—2.9</w:t>
            </w:r>
          </w:p>
        </w:tc>
        <w:tc>
          <w:tcPr>
            <w:tcW w:w="1060" w:type="pct"/>
            <w:noWrap w:val="0"/>
            <w:vAlign w:val="top"/>
          </w:tcPr>
          <w:p w14:paraId="3A88B131">
            <w:pPr>
              <w:pStyle w:val="9"/>
              <w:keepNext w:val="0"/>
              <w:keepLines w:val="0"/>
              <w:pageBreakBefore w:val="0"/>
              <w:wordWrap/>
              <w:overflowPunct/>
              <w:topLinePunct w:val="0"/>
              <w:bidi w:val="0"/>
              <w:spacing w:before="230" w:line="560" w:lineRule="exact"/>
              <w:ind w:left="0"/>
              <w:jc w:val="center"/>
              <w:rPr>
                <w:rFonts w:hint="eastAsia"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0"/>
                <w:sz w:val="28"/>
                <w:szCs w:val="28"/>
                <w:highlight w:val="none"/>
                <w:lang w:eastAsia="zh-CN"/>
              </w:rPr>
              <w:t>元/株</w:t>
            </w:r>
          </w:p>
        </w:tc>
        <w:tc>
          <w:tcPr>
            <w:tcW w:w="1006" w:type="pct"/>
            <w:noWrap w:val="0"/>
            <w:vAlign w:val="top"/>
          </w:tcPr>
          <w:p w14:paraId="3CDCF1B8">
            <w:pPr>
              <w:pStyle w:val="9"/>
              <w:keepNext w:val="0"/>
              <w:keepLines w:val="0"/>
              <w:pageBreakBefore w:val="0"/>
              <w:wordWrap/>
              <w:overflowPunct/>
              <w:topLinePunct w:val="0"/>
              <w:bidi w:val="0"/>
              <w:spacing w:before="230" w:line="560" w:lineRule="exact"/>
              <w:ind w:left="0"/>
              <w:jc w:val="center"/>
              <w:rPr>
                <w:rFonts w:hint="default"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0"/>
                <w:sz w:val="28"/>
                <w:szCs w:val="28"/>
                <w:highlight w:val="none"/>
                <w:lang w:val="en-US" w:eastAsia="zh-CN"/>
              </w:rPr>
              <w:t>50</w:t>
            </w:r>
          </w:p>
        </w:tc>
        <w:tc>
          <w:tcPr>
            <w:tcW w:w="1745" w:type="dxa"/>
            <w:noWrap w:val="0"/>
            <w:vAlign w:val="top"/>
          </w:tcPr>
          <w:p w14:paraId="1CAB32B0">
            <w:pPr>
              <w:pStyle w:val="9"/>
              <w:keepNext w:val="0"/>
              <w:keepLines w:val="0"/>
              <w:pageBreakBefore w:val="0"/>
              <w:wordWrap/>
              <w:overflowPunct/>
              <w:topLinePunct w:val="0"/>
              <w:bidi w:val="0"/>
              <w:spacing w:before="159" w:line="560" w:lineRule="exact"/>
              <w:ind w:left="248" w:leftChars="0"/>
              <w:rPr>
                <w:rFonts w:hint="eastAsia" w:ascii="Times New Roman" w:hAnsi="Times New Roman" w:eastAsia="宋体" w:cs="宋体"/>
                <w:snapToGrid w:val="0"/>
                <w:color w:val="000000"/>
                <w:kern w:val="0"/>
                <w:sz w:val="28"/>
                <w:szCs w:val="28"/>
                <w:highlight w:val="none"/>
                <w:lang w:val="en-US" w:eastAsia="zh-CN" w:bidi="ar-SA"/>
              </w:rPr>
            </w:pPr>
            <w:r>
              <w:rPr>
                <w:rFonts w:ascii="Times New Roman" w:hAnsi="Times New Roman"/>
                <w:color w:val="000000"/>
                <w:spacing w:val="2"/>
                <w:sz w:val="28"/>
                <w:szCs w:val="28"/>
                <w:highlight w:val="none"/>
              </w:rPr>
              <w:t>1.5m以上</w:t>
            </w:r>
          </w:p>
        </w:tc>
      </w:tr>
      <w:tr w14:paraId="598F9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881" w:type="pct"/>
            <w:vMerge w:val="continue"/>
            <w:tcBorders>
              <w:top w:val="nil"/>
              <w:bottom w:val="nil"/>
            </w:tcBorders>
            <w:noWrap w:val="0"/>
            <w:vAlign w:val="top"/>
          </w:tcPr>
          <w:p w14:paraId="04CBCE4C">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1053" w:type="pct"/>
            <w:noWrap w:val="0"/>
            <w:vAlign w:val="top"/>
          </w:tcPr>
          <w:p w14:paraId="6661675C">
            <w:pPr>
              <w:pStyle w:val="9"/>
              <w:keepNext w:val="0"/>
              <w:keepLines w:val="0"/>
              <w:pageBreakBefore w:val="0"/>
              <w:wordWrap/>
              <w:overflowPunct/>
              <w:topLinePunct w:val="0"/>
              <w:bidi w:val="0"/>
              <w:spacing w:before="230" w:line="560" w:lineRule="exact"/>
              <w:ind w:left="0" w:leftChars="0"/>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pacing w:val="0"/>
                <w:sz w:val="28"/>
                <w:szCs w:val="28"/>
                <w:highlight w:val="none"/>
                <w:lang w:eastAsia="zh-CN"/>
              </w:rPr>
              <w:t>3—3.9</w:t>
            </w:r>
          </w:p>
        </w:tc>
        <w:tc>
          <w:tcPr>
            <w:tcW w:w="1060" w:type="pct"/>
            <w:noWrap w:val="0"/>
            <w:vAlign w:val="top"/>
          </w:tcPr>
          <w:p w14:paraId="5BC9583F">
            <w:pPr>
              <w:pStyle w:val="9"/>
              <w:keepNext w:val="0"/>
              <w:keepLines w:val="0"/>
              <w:pageBreakBefore w:val="0"/>
              <w:wordWrap/>
              <w:overflowPunct/>
              <w:topLinePunct w:val="0"/>
              <w:bidi w:val="0"/>
              <w:spacing w:before="230" w:line="560" w:lineRule="exact"/>
              <w:ind w:left="0"/>
              <w:jc w:val="center"/>
              <w:rPr>
                <w:rFonts w:hint="eastAsia"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0"/>
                <w:sz w:val="28"/>
                <w:szCs w:val="28"/>
                <w:highlight w:val="none"/>
                <w:lang w:eastAsia="zh-CN"/>
              </w:rPr>
              <w:t>元/株</w:t>
            </w:r>
          </w:p>
        </w:tc>
        <w:tc>
          <w:tcPr>
            <w:tcW w:w="1006" w:type="pct"/>
            <w:noWrap w:val="0"/>
            <w:vAlign w:val="top"/>
          </w:tcPr>
          <w:p w14:paraId="32C50BD1">
            <w:pPr>
              <w:pStyle w:val="9"/>
              <w:keepNext w:val="0"/>
              <w:keepLines w:val="0"/>
              <w:pageBreakBefore w:val="0"/>
              <w:wordWrap/>
              <w:overflowPunct/>
              <w:topLinePunct w:val="0"/>
              <w:bidi w:val="0"/>
              <w:spacing w:before="230" w:line="560" w:lineRule="exact"/>
              <w:ind w:left="0"/>
              <w:jc w:val="center"/>
              <w:rPr>
                <w:rFonts w:hint="default"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snapToGrid w:val="0"/>
                <w:color w:val="000000"/>
                <w:kern w:val="0"/>
                <w:sz w:val="28"/>
                <w:szCs w:val="28"/>
                <w:highlight w:val="none"/>
                <w:lang w:val="en-US" w:eastAsia="zh-CN" w:bidi="ar-SA"/>
              </w:rPr>
              <w:t>140</w:t>
            </w:r>
          </w:p>
        </w:tc>
        <w:tc>
          <w:tcPr>
            <w:tcW w:w="1745" w:type="dxa"/>
            <w:noWrap w:val="0"/>
            <w:vAlign w:val="top"/>
          </w:tcPr>
          <w:p w14:paraId="58547364">
            <w:pPr>
              <w:pStyle w:val="9"/>
              <w:keepNext w:val="0"/>
              <w:keepLines w:val="0"/>
              <w:pageBreakBefore w:val="0"/>
              <w:wordWrap/>
              <w:overflowPunct/>
              <w:topLinePunct w:val="0"/>
              <w:bidi w:val="0"/>
              <w:spacing w:before="161" w:line="560" w:lineRule="exact"/>
              <w:ind w:left="248" w:leftChars="0"/>
              <w:rPr>
                <w:rFonts w:hint="eastAsia" w:ascii="Times New Roman" w:hAnsi="Times New Roman" w:eastAsia="宋体" w:cs="宋体"/>
                <w:snapToGrid w:val="0"/>
                <w:color w:val="000000"/>
                <w:kern w:val="0"/>
                <w:sz w:val="28"/>
                <w:szCs w:val="28"/>
                <w:highlight w:val="none"/>
                <w:lang w:val="en-US" w:eastAsia="zh-CN" w:bidi="ar-SA"/>
              </w:rPr>
            </w:pPr>
            <w:r>
              <w:rPr>
                <w:rFonts w:ascii="Times New Roman" w:hAnsi="Times New Roman"/>
                <w:color w:val="000000"/>
                <w:spacing w:val="2"/>
                <w:sz w:val="28"/>
                <w:szCs w:val="28"/>
                <w:highlight w:val="none"/>
              </w:rPr>
              <w:t>1.5m以上</w:t>
            </w:r>
          </w:p>
        </w:tc>
      </w:tr>
      <w:tr w14:paraId="705D1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881" w:type="pct"/>
            <w:vMerge w:val="continue"/>
            <w:tcBorders>
              <w:top w:val="nil"/>
              <w:bottom w:val="single" w:color="auto" w:sz="4" w:space="0"/>
            </w:tcBorders>
            <w:noWrap w:val="0"/>
            <w:vAlign w:val="top"/>
          </w:tcPr>
          <w:p w14:paraId="64C27537">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1053" w:type="pct"/>
            <w:tcBorders>
              <w:bottom w:val="single" w:color="auto" w:sz="4" w:space="0"/>
            </w:tcBorders>
            <w:noWrap w:val="0"/>
            <w:vAlign w:val="top"/>
          </w:tcPr>
          <w:p w14:paraId="47F4D0B7">
            <w:pPr>
              <w:pStyle w:val="9"/>
              <w:keepNext w:val="0"/>
              <w:keepLines w:val="0"/>
              <w:pageBreakBefore w:val="0"/>
              <w:wordWrap/>
              <w:overflowPunct/>
              <w:topLinePunct w:val="0"/>
              <w:bidi w:val="0"/>
              <w:spacing w:before="230" w:line="560" w:lineRule="exact"/>
              <w:ind w:left="0" w:leftChars="0"/>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pacing w:val="0"/>
                <w:sz w:val="28"/>
                <w:szCs w:val="28"/>
                <w:highlight w:val="none"/>
                <w:lang w:eastAsia="zh-CN"/>
              </w:rPr>
              <w:t>4—7.9</w:t>
            </w:r>
          </w:p>
        </w:tc>
        <w:tc>
          <w:tcPr>
            <w:tcW w:w="1060" w:type="pct"/>
            <w:noWrap w:val="0"/>
            <w:vAlign w:val="top"/>
          </w:tcPr>
          <w:p w14:paraId="1BCE1BD1">
            <w:pPr>
              <w:pStyle w:val="9"/>
              <w:keepNext w:val="0"/>
              <w:keepLines w:val="0"/>
              <w:pageBreakBefore w:val="0"/>
              <w:wordWrap/>
              <w:overflowPunct/>
              <w:topLinePunct w:val="0"/>
              <w:bidi w:val="0"/>
              <w:spacing w:before="230" w:line="560" w:lineRule="exact"/>
              <w:ind w:left="0"/>
              <w:jc w:val="center"/>
              <w:rPr>
                <w:rFonts w:hint="eastAsia"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0"/>
                <w:sz w:val="28"/>
                <w:szCs w:val="28"/>
                <w:highlight w:val="none"/>
                <w:lang w:eastAsia="zh-CN"/>
              </w:rPr>
              <w:t>元/株</w:t>
            </w:r>
          </w:p>
        </w:tc>
        <w:tc>
          <w:tcPr>
            <w:tcW w:w="1006" w:type="pct"/>
            <w:noWrap w:val="0"/>
            <w:vAlign w:val="top"/>
          </w:tcPr>
          <w:p w14:paraId="58C84E85">
            <w:pPr>
              <w:pStyle w:val="9"/>
              <w:keepNext w:val="0"/>
              <w:keepLines w:val="0"/>
              <w:pageBreakBefore w:val="0"/>
              <w:wordWrap/>
              <w:overflowPunct/>
              <w:topLinePunct w:val="0"/>
              <w:bidi w:val="0"/>
              <w:spacing w:before="230" w:line="560" w:lineRule="exact"/>
              <w:ind w:left="0"/>
              <w:jc w:val="center"/>
              <w:rPr>
                <w:rFonts w:hint="default" w:ascii="Times New Roman" w:hAnsi="Times New Roman" w:eastAsia="仿宋_GB2312" w:cs="仿宋_GB2312"/>
                <w:snapToGrid w:val="0"/>
                <w:color w:val="000000"/>
                <w:kern w:val="0"/>
                <w:sz w:val="28"/>
                <w:szCs w:val="28"/>
                <w:highlight w:val="none"/>
                <w:lang w:val="en-US" w:eastAsia="zh-CN" w:bidi="ar-SA"/>
              </w:rPr>
            </w:pPr>
            <w:r>
              <w:rPr>
                <w:rFonts w:hint="eastAsia" w:ascii="Times New Roman" w:hAnsi="Times New Roman" w:eastAsia="仿宋_GB2312" w:cs="仿宋_GB2312"/>
                <w:color w:val="000000"/>
                <w:spacing w:val="0"/>
                <w:sz w:val="28"/>
                <w:szCs w:val="28"/>
                <w:highlight w:val="none"/>
                <w:lang w:val="en-US" w:eastAsia="zh-CN"/>
              </w:rPr>
              <w:t>240</w:t>
            </w:r>
          </w:p>
        </w:tc>
        <w:tc>
          <w:tcPr>
            <w:tcW w:w="1745" w:type="dxa"/>
            <w:noWrap w:val="0"/>
            <w:vAlign w:val="top"/>
          </w:tcPr>
          <w:p w14:paraId="4D86DB87">
            <w:pPr>
              <w:pStyle w:val="9"/>
              <w:keepNext w:val="0"/>
              <w:keepLines w:val="0"/>
              <w:pageBreakBefore w:val="0"/>
              <w:wordWrap/>
              <w:overflowPunct/>
              <w:topLinePunct w:val="0"/>
              <w:bidi w:val="0"/>
              <w:spacing w:before="162" w:line="560" w:lineRule="exact"/>
              <w:ind w:left="248" w:leftChars="0"/>
              <w:rPr>
                <w:rFonts w:hint="eastAsia" w:ascii="Times New Roman" w:hAnsi="Times New Roman" w:eastAsia="宋体" w:cs="宋体"/>
                <w:snapToGrid w:val="0"/>
                <w:color w:val="000000"/>
                <w:kern w:val="0"/>
                <w:sz w:val="28"/>
                <w:szCs w:val="28"/>
                <w:highlight w:val="none"/>
                <w:lang w:val="en-US" w:eastAsia="zh-CN" w:bidi="ar-SA"/>
              </w:rPr>
            </w:pPr>
            <w:r>
              <w:rPr>
                <w:rFonts w:ascii="Times New Roman" w:hAnsi="Times New Roman"/>
                <w:color w:val="000000"/>
                <w:spacing w:val="2"/>
                <w:sz w:val="28"/>
                <w:szCs w:val="28"/>
                <w:highlight w:val="none"/>
              </w:rPr>
              <w:t>1.8m以上</w:t>
            </w:r>
          </w:p>
        </w:tc>
      </w:tr>
    </w:tbl>
    <w:p w14:paraId="27174A30">
      <w:pPr>
        <w:keepNext w:val="0"/>
        <w:keepLines w:val="0"/>
        <w:pageBreakBefore w:val="0"/>
        <w:wordWrap/>
        <w:overflowPunct/>
        <w:topLinePunct w:val="0"/>
        <w:bidi w:val="0"/>
        <w:spacing w:before="101" w:line="560" w:lineRule="exact"/>
        <w:ind w:firstLine="616" w:firstLineChars="200"/>
        <w:outlineLvl w:val="6"/>
        <w:rPr>
          <w:rFonts w:ascii="Times New Roman" w:hAnsi="Times New Roman"/>
          <w:color w:val="000000"/>
          <w:highlight w:val="none"/>
        </w:rPr>
      </w:pPr>
      <w:r>
        <w:rPr>
          <w:rFonts w:hint="eastAsia" w:ascii="Times New Roman" w:hAnsi="Times New Roman" w:eastAsia="黑体" w:cs="黑体"/>
          <w:b w:val="0"/>
          <w:bCs w:val="0"/>
          <w:color w:val="000000"/>
          <w:spacing w:val="-6"/>
          <w:sz w:val="32"/>
          <w:szCs w:val="32"/>
          <w:highlight w:val="none"/>
          <w:lang w:val="en-US" w:eastAsia="zh-CN"/>
        </w:rPr>
        <w:t>六</w:t>
      </w:r>
      <w:r>
        <w:rPr>
          <w:rFonts w:hint="eastAsia" w:ascii="Times New Roman" w:hAnsi="Times New Roman" w:eastAsia="黑体" w:cs="黑体"/>
          <w:b w:val="0"/>
          <w:bCs w:val="0"/>
          <w:color w:val="000000"/>
          <w:spacing w:val="-6"/>
          <w:sz w:val="32"/>
          <w:szCs w:val="32"/>
          <w:highlight w:val="none"/>
        </w:rPr>
        <w:t>、松树</w:t>
      </w:r>
    </w:p>
    <w:tbl>
      <w:tblPr>
        <w:tblStyle w:val="10"/>
        <w:tblW w:w="87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7"/>
        <w:gridCol w:w="2191"/>
        <w:gridCol w:w="2219"/>
        <w:gridCol w:w="2462"/>
      </w:tblGrid>
      <w:tr w14:paraId="0BF3A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trPr>
        <w:tc>
          <w:tcPr>
            <w:tcW w:w="1867" w:type="dxa"/>
            <w:noWrap w:val="0"/>
            <w:vAlign w:val="top"/>
          </w:tcPr>
          <w:p w14:paraId="7364C6EC">
            <w:pPr>
              <w:pStyle w:val="9"/>
              <w:keepNext w:val="0"/>
              <w:keepLines w:val="0"/>
              <w:pageBreakBefore w:val="0"/>
              <w:widowControl/>
              <w:kinsoku w:val="0"/>
              <w:wordWrap/>
              <w:overflowPunct/>
              <w:topLinePunct w:val="0"/>
              <w:autoSpaceDE w:val="0"/>
              <w:autoSpaceDN w:val="0"/>
              <w:bidi w:val="0"/>
              <w:adjustRightInd w:val="0"/>
              <w:snapToGrid w:val="0"/>
              <w:spacing w:before="292" w:line="560" w:lineRule="exact"/>
              <w:jc w:val="center"/>
              <w:textAlignment w:val="baseline"/>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3"/>
                <w:sz w:val="32"/>
                <w:szCs w:val="32"/>
                <w:highlight w:val="none"/>
              </w:rPr>
              <w:t>品种</w:t>
            </w:r>
          </w:p>
        </w:tc>
        <w:tc>
          <w:tcPr>
            <w:tcW w:w="2191" w:type="dxa"/>
            <w:noWrap w:val="0"/>
            <w:vAlign w:val="top"/>
          </w:tcPr>
          <w:p w14:paraId="4D8918A1">
            <w:pPr>
              <w:pStyle w:val="9"/>
              <w:keepNext w:val="0"/>
              <w:keepLines w:val="0"/>
              <w:pageBreakBefore w:val="0"/>
              <w:widowControl/>
              <w:kinsoku w:val="0"/>
              <w:wordWrap/>
              <w:overflowPunct/>
              <w:topLinePunct w:val="0"/>
              <w:autoSpaceDE w:val="0"/>
              <w:autoSpaceDN w:val="0"/>
              <w:bidi w:val="0"/>
              <w:adjustRightInd w:val="0"/>
              <w:snapToGrid w:val="0"/>
              <w:spacing w:before="101" w:line="560" w:lineRule="exact"/>
              <w:jc w:val="center"/>
              <w:textAlignment w:val="baseline"/>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5"/>
                <w:sz w:val="32"/>
                <w:szCs w:val="32"/>
                <w:highlight w:val="none"/>
              </w:rPr>
              <w:t>主杆高度</w:t>
            </w:r>
          </w:p>
          <w:p w14:paraId="64880A19">
            <w:pPr>
              <w:pStyle w:val="9"/>
              <w:keepNext w:val="0"/>
              <w:keepLines w:val="0"/>
              <w:pageBreakBefore w:val="0"/>
              <w:widowControl/>
              <w:kinsoku w:val="0"/>
              <w:wordWrap/>
              <w:overflowPunct/>
              <w:topLinePunct w:val="0"/>
              <w:autoSpaceDE w:val="0"/>
              <w:autoSpaceDN w:val="0"/>
              <w:bidi w:val="0"/>
              <w:adjustRightInd w:val="0"/>
              <w:snapToGrid w:val="0"/>
              <w:spacing w:before="55" w:line="560" w:lineRule="exact"/>
              <w:jc w:val="center"/>
              <w:textAlignment w:val="baseline"/>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5"/>
                <w:sz w:val="32"/>
                <w:szCs w:val="32"/>
                <w:highlight w:val="none"/>
              </w:rPr>
              <w:t>(cm)</w:t>
            </w:r>
          </w:p>
        </w:tc>
        <w:tc>
          <w:tcPr>
            <w:tcW w:w="2219" w:type="dxa"/>
            <w:noWrap w:val="0"/>
            <w:vAlign w:val="top"/>
          </w:tcPr>
          <w:p w14:paraId="4807B7FE">
            <w:pPr>
              <w:pStyle w:val="9"/>
              <w:keepNext w:val="0"/>
              <w:keepLines w:val="0"/>
              <w:pageBreakBefore w:val="0"/>
              <w:widowControl/>
              <w:kinsoku w:val="0"/>
              <w:wordWrap/>
              <w:overflowPunct/>
              <w:topLinePunct w:val="0"/>
              <w:autoSpaceDE w:val="0"/>
              <w:autoSpaceDN w:val="0"/>
              <w:bidi w:val="0"/>
              <w:adjustRightInd w:val="0"/>
              <w:snapToGrid w:val="0"/>
              <w:spacing w:before="85" w:line="560" w:lineRule="exact"/>
              <w:jc w:val="center"/>
              <w:textAlignment w:val="baseline"/>
              <w:rPr>
                <w:rFonts w:hint="eastAsia" w:ascii="Times New Roman" w:hAnsi="Times New Roman" w:eastAsia="黑体" w:cs="黑体"/>
                <w:b w:val="0"/>
                <w:bCs w:val="0"/>
                <w:color w:val="000000"/>
                <w:spacing w:val="1"/>
                <w:sz w:val="32"/>
                <w:szCs w:val="32"/>
                <w:highlight w:val="none"/>
              </w:rPr>
            </w:pPr>
            <w:r>
              <w:rPr>
                <w:rFonts w:hint="eastAsia" w:ascii="Times New Roman" w:hAnsi="Times New Roman" w:eastAsia="黑体" w:cs="黑体"/>
                <w:b w:val="0"/>
                <w:bCs w:val="0"/>
                <w:color w:val="000000"/>
                <w:spacing w:val="1"/>
                <w:sz w:val="32"/>
                <w:szCs w:val="32"/>
                <w:highlight w:val="none"/>
              </w:rPr>
              <w:t>最大亩载数量</w:t>
            </w:r>
          </w:p>
          <w:p w14:paraId="317E1E59">
            <w:pPr>
              <w:pStyle w:val="9"/>
              <w:keepNext w:val="0"/>
              <w:keepLines w:val="0"/>
              <w:pageBreakBefore w:val="0"/>
              <w:widowControl/>
              <w:kinsoku w:val="0"/>
              <w:wordWrap/>
              <w:overflowPunct/>
              <w:topLinePunct w:val="0"/>
              <w:autoSpaceDE w:val="0"/>
              <w:autoSpaceDN w:val="0"/>
              <w:bidi w:val="0"/>
              <w:adjustRightInd w:val="0"/>
              <w:snapToGrid w:val="0"/>
              <w:spacing w:before="85" w:line="560" w:lineRule="exact"/>
              <w:jc w:val="center"/>
              <w:textAlignment w:val="baseline"/>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8"/>
                <w:sz w:val="32"/>
                <w:szCs w:val="32"/>
                <w:highlight w:val="none"/>
              </w:rPr>
              <w:t>(株)</w:t>
            </w:r>
          </w:p>
        </w:tc>
        <w:tc>
          <w:tcPr>
            <w:tcW w:w="2462" w:type="dxa"/>
            <w:noWrap w:val="0"/>
            <w:vAlign w:val="center"/>
          </w:tcPr>
          <w:p w14:paraId="724AD32E">
            <w:pPr>
              <w:pStyle w:val="9"/>
              <w:keepNext w:val="0"/>
              <w:keepLines w:val="0"/>
              <w:pageBreakBefore w:val="0"/>
              <w:widowControl/>
              <w:kinsoku w:val="0"/>
              <w:wordWrap/>
              <w:overflowPunct/>
              <w:topLinePunct w:val="0"/>
              <w:autoSpaceDE w:val="0"/>
              <w:autoSpaceDN w:val="0"/>
              <w:bidi w:val="0"/>
              <w:adjustRightInd w:val="0"/>
              <w:snapToGrid w:val="0"/>
              <w:spacing w:before="85" w:line="560" w:lineRule="exact"/>
              <w:ind w:right="0"/>
              <w:jc w:val="center"/>
              <w:textAlignment w:val="baseline"/>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1"/>
                <w:sz w:val="32"/>
                <w:szCs w:val="32"/>
                <w:highlight w:val="none"/>
              </w:rPr>
              <w:t>参考价(元/株)</w:t>
            </w:r>
          </w:p>
        </w:tc>
      </w:tr>
      <w:tr w14:paraId="5F000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867" w:type="dxa"/>
            <w:vMerge w:val="restart"/>
            <w:tcBorders>
              <w:bottom w:val="nil"/>
            </w:tcBorders>
            <w:noWrap w:val="0"/>
            <w:vAlign w:val="center"/>
          </w:tcPr>
          <w:p w14:paraId="6A67AA08">
            <w:pPr>
              <w:pStyle w:val="9"/>
              <w:keepNext w:val="0"/>
              <w:keepLines w:val="0"/>
              <w:pageBreakBefore w:val="0"/>
              <w:wordWrap/>
              <w:overflowPunct/>
              <w:topLinePunct w:val="0"/>
              <w:bidi w:val="0"/>
              <w:spacing w:before="81"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松树</w:t>
            </w:r>
          </w:p>
        </w:tc>
        <w:tc>
          <w:tcPr>
            <w:tcW w:w="2191" w:type="dxa"/>
            <w:noWrap w:val="0"/>
            <w:vAlign w:val="center"/>
          </w:tcPr>
          <w:p w14:paraId="1363C97B">
            <w:pPr>
              <w:pStyle w:val="9"/>
              <w:keepNext w:val="0"/>
              <w:keepLines w:val="0"/>
              <w:pageBreakBefore w:val="0"/>
              <w:widowControl/>
              <w:kinsoku w:val="0"/>
              <w:wordWrap/>
              <w:overflowPunct/>
              <w:topLinePunct w:val="0"/>
              <w:autoSpaceDE w:val="0"/>
              <w:autoSpaceDN w:val="0"/>
              <w:bidi w:val="0"/>
              <w:adjustRightInd w:val="0"/>
              <w:snapToGrid w:val="0"/>
              <w:spacing w:before="152"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17"/>
                <w:sz w:val="28"/>
                <w:szCs w:val="28"/>
                <w:highlight w:val="none"/>
              </w:rPr>
              <w:t>50</w:t>
            </w:r>
            <w:r>
              <w:rPr>
                <w:rFonts w:hint="eastAsia" w:ascii="Times New Roman" w:hAnsi="Times New Roman" w:eastAsia="仿宋_GB2312" w:cs="仿宋_GB2312"/>
                <w:color w:val="000000"/>
                <w:spacing w:val="-26"/>
                <w:sz w:val="28"/>
                <w:szCs w:val="28"/>
                <w:highlight w:val="none"/>
              </w:rPr>
              <w:t xml:space="preserve"> </w:t>
            </w:r>
            <w:r>
              <w:rPr>
                <w:rFonts w:hint="eastAsia" w:ascii="Times New Roman" w:hAnsi="Times New Roman" w:eastAsia="仿宋_GB2312" w:cs="仿宋_GB2312"/>
                <w:color w:val="000000"/>
                <w:spacing w:val="-17"/>
                <w:sz w:val="28"/>
                <w:szCs w:val="28"/>
                <w:highlight w:val="none"/>
              </w:rPr>
              <w:t>以下</w:t>
            </w:r>
          </w:p>
        </w:tc>
        <w:tc>
          <w:tcPr>
            <w:tcW w:w="2219" w:type="dxa"/>
            <w:noWrap w:val="0"/>
            <w:vAlign w:val="center"/>
          </w:tcPr>
          <w:p w14:paraId="126058E2">
            <w:pPr>
              <w:pStyle w:val="9"/>
              <w:keepNext w:val="0"/>
              <w:keepLines w:val="0"/>
              <w:pageBreakBefore w:val="0"/>
              <w:widowControl/>
              <w:kinsoku w:val="0"/>
              <w:wordWrap/>
              <w:overflowPunct/>
              <w:topLinePunct w:val="0"/>
              <w:autoSpaceDE w:val="0"/>
              <w:autoSpaceDN w:val="0"/>
              <w:bidi w:val="0"/>
              <w:adjustRightInd w:val="0"/>
              <w:snapToGrid w:val="0"/>
              <w:spacing w:before="214" w:line="560" w:lineRule="exact"/>
              <w:jc w:val="center"/>
              <w:textAlignment w:val="baseline"/>
              <w:rPr>
                <w:rFonts w:hint="default" w:ascii="Times New Roman" w:hAnsi="Times New Roman" w:eastAsia="仿宋_GB2312" w:cs="仿宋_GB2312"/>
                <w:color w:val="000000"/>
                <w:sz w:val="28"/>
                <w:szCs w:val="28"/>
                <w:highlight w:val="none"/>
                <w:lang w:val="en-US"/>
              </w:rPr>
            </w:pPr>
            <w:r>
              <w:rPr>
                <w:rFonts w:hint="eastAsia" w:ascii="Times New Roman" w:hAnsi="Times New Roman" w:eastAsia="仿宋_GB2312" w:cs="仿宋_GB2312"/>
                <w:color w:val="000000"/>
                <w:spacing w:val="-6"/>
                <w:sz w:val="28"/>
                <w:szCs w:val="28"/>
                <w:highlight w:val="none"/>
                <w:lang w:val="en-US" w:eastAsia="zh-CN"/>
              </w:rPr>
              <w:t>1000</w:t>
            </w:r>
          </w:p>
        </w:tc>
        <w:tc>
          <w:tcPr>
            <w:tcW w:w="2462" w:type="dxa"/>
            <w:noWrap w:val="0"/>
            <w:vAlign w:val="center"/>
          </w:tcPr>
          <w:p w14:paraId="2243174B">
            <w:pPr>
              <w:pStyle w:val="9"/>
              <w:keepNext w:val="0"/>
              <w:keepLines w:val="0"/>
              <w:pageBreakBefore w:val="0"/>
              <w:widowControl/>
              <w:kinsoku w:val="0"/>
              <w:wordWrap/>
              <w:overflowPunct/>
              <w:topLinePunct w:val="0"/>
              <w:autoSpaceDE w:val="0"/>
              <w:autoSpaceDN w:val="0"/>
              <w:bidi w:val="0"/>
              <w:adjustRightInd w:val="0"/>
              <w:snapToGrid w:val="0"/>
              <w:spacing w:before="217"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7</w:t>
            </w:r>
          </w:p>
        </w:tc>
      </w:tr>
      <w:tr w14:paraId="1A377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867" w:type="dxa"/>
            <w:vMerge w:val="continue"/>
            <w:tcBorders>
              <w:top w:val="nil"/>
              <w:bottom w:val="nil"/>
            </w:tcBorders>
            <w:noWrap w:val="0"/>
            <w:vAlign w:val="top"/>
          </w:tcPr>
          <w:p w14:paraId="72947935">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478FFF5E">
            <w:pPr>
              <w:pStyle w:val="9"/>
              <w:keepNext w:val="0"/>
              <w:keepLines w:val="0"/>
              <w:pageBreakBefore w:val="0"/>
              <w:widowControl/>
              <w:kinsoku w:val="0"/>
              <w:wordWrap/>
              <w:overflowPunct/>
              <w:topLinePunct w:val="0"/>
              <w:autoSpaceDE w:val="0"/>
              <w:autoSpaceDN w:val="0"/>
              <w:bidi w:val="0"/>
              <w:adjustRightInd w:val="0"/>
              <w:snapToGrid w:val="0"/>
              <w:spacing w:before="225"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51-100</w:t>
            </w:r>
          </w:p>
        </w:tc>
        <w:tc>
          <w:tcPr>
            <w:tcW w:w="2219" w:type="dxa"/>
            <w:noWrap w:val="0"/>
            <w:vAlign w:val="center"/>
          </w:tcPr>
          <w:p w14:paraId="7CB70504">
            <w:pPr>
              <w:pStyle w:val="9"/>
              <w:keepNext w:val="0"/>
              <w:keepLines w:val="0"/>
              <w:pageBreakBefore w:val="0"/>
              <w:widowControl/>
              <w:kinsoku w:val="0"/>
              <w:wordWrap/>
              <w:overflowPunct/>
              <w:topLinePunct w:val="0"/>
              <w:autoSpaceDE w:val="0"/>
              <w:autoSpaceDN w:val="0"/>
              <w:bidi w:val="0"/>
              <w:adjustRightInd w:val="0"/>
              <w:snapToGrid w:val="0"/>
              <w:spacing w:before="225"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6"/>
                <w:sz w:val="28"/>
                <w:szCs w:val="28"/>
                <w:highlight w:val="none"/>
                <w:lang w:val="en-US" w:eastAsia="zh-CN"/>
              </w:rPr>
              <w:t>800</w:t>
            </w:r>
          </w:p>
        </w:tc>
        <w:tc>
          <w:tcPr>
            <w:tcW w:w="2462" w:type="dxa"/>
            <w:noWrap w:val="0"/>
            <w:vAlign w:val="center"/>
          </w:tcPr>
          <w:p w14:paraId="49182274">
            <w:pPr>
              <w:pStyle w:val="9"/>
              <w:keepNext w:val="0"/>
              <w:keepLines w:val="0"/>
              <w:pageBreakBefore w:val="0"/>
              <w:widowControl/>
              <w:kinsoku w:val="0"/>
              <w:wordWrap/>
              <w:overflowPunct/>
              <w:topLinePunct w:val="0"/>
              <w:autoSpaceDE w:val="0"/>
              <w:autoSpaceDN w:val="0"/>
              <w:bidi w:val="0"/>
              <w:adjustRightInd w:val="0"/>
              <w:snapToGrid w:val="0"/>
              <w:spacing w:before="225"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8"/>
                <w:sz w:val="28"/>
                <w:szCs w:val="28"/>
                <w:highlight w:val="none"/>
              </w:rPr>
              <w:t>15</w:t>
            </w:r>
          </w:p>
        </w:tc>
      </w:tr>
      <w:tr w14:paraId="4B78C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867" w:type="dxa"/>
            <w:vMerge w:val="continue"/>
            <w:tcBorders>
              <w:top w:val="nil"/>
              <w:bottom w:val="nil"/>
            </w:tcBorders>
            <w:noWrap w:val="0"/>
            <w:vAlign w:val="top"/>
          </w:tcPr>
          <w:p w14:paraId="6CC2BE8B">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08104B1F">
            <w:pPr>
              <w:pStyle w:val="9"/>
              <w:keepNext w:val="0"/>
              <w:keepLines w:val="0"/>
              <w:pageBreakBefore w:val="0"/>
              <w:widowControl/>
              <w:kinsoku w:val="0"/>
              <w:wordWrap/>
              <w:overflowPunct/>
              <w:topLinePunct w:val="0"/>
              <w:autoSpaceDE w:val="0"/>
              <w:autoSpaceDN w:val="0"/>
              <w:bidi w:val="0"/>
              <w:adjustRightInd w:val="0"/>
              <w:snapToGrid w:val="0"/>
              <w:spacing w:before="226"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5"/>
                <w:sz w:val="28"/>
                <w:szCs w:val="28"/>
                <w:highlight w:val="none"/>
              </w:rPr>
              <w:t>101-150</w:t>
            </w:r>
          </w:p>
        </w:tc>
        <w:tc>
          <w:tcPr>
            <w:tcW w:w="2219" w:type="dxa"/>
            <w:noWrap w:val="0"/>
            <w:vAlign w:val="center"/>
          </w:tcPr>
          <w:p w14:paraId="615EE69C">
            <w:pPr>
              <w:pStyle w:val="9"/>
              <w:keepNext w:val="0"/>
              <w:keepLines w:val="0"/>
              <w:pageBreakBefore w:val="0"/>
              <w:widowControl/>
              <w:kinsoku w:val="0"/>
              <w:wordWrap/>
              <w:overflowPunct/>
              <w:topLinePunct w:val="0"/>
              <w:autoSpaceDE w:val="0"/>
              <w:autoSpaceDN w:val="0"/>
              <w:bidi w:val="0"/>
              <w:adjustRightInd w:val="0"/>
              <w:snapToGrid w:val="0"/>
              <w:spacing w:before="226"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580</w:t>
            </w:r>
          </w:p>
        </w:tc>
        <w:tc>
          <w:tcPr>
            <w:tcW w:w="2462" w:type="dxa"/>
            <w:noWrap w:val="0"/>
            <w:vAlign w:val="center"/>
          </w:tcPr>
          <w:p w14:paraId="305491A9">
            <w:pPr>
              <w:pStyle w:val="9"/>
              <w:keepNext w:val="0"/>
              <w:keepLines w:val="0"/>
              <w:pageBreakBefore w:val="0"/>
              <w:widowControl/>
              <w:kinsoku w:val="0"/>
              <w:wordWrap/>
              <w:overflowPunct/>
              <w:topLinePunct w:val="0"/>
              <w:autoSpaceDE w:val="0"/>
              <w:autoSpaceDN w:val="0"/>
              <w:bidi w:val="0"/>
              <w:adjustRightInd w:val="0"/>
              <w:snapToGrid w:val="0"/>
              <w:spacing w:before="227"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40</w:t>
            </w:r>
          </w:p>
        </w:tc>
      </w:tr>
      <w:tr w14:paraId="30C5A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867" w:type="dxa"/>
            <w:vMerge w:val="continue"/>
            <w:tcBorders>
              <w:top w:val="nil"/>
              <w:bottom w:val="nil"/>
            </w:tcBorders>
            <w:noWrap w:val="0"/>
            <w:vAlign w:val="top"/>
          </w:tcPr>
          <w:p w14:paraId="18588649">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66361A8A">
            <w:pPr>
              <w:pStyle w:val="9"/>
              <w:keepNext w:val="0"/>
              <w:keepLines w:val="0"/>
              <w:pageBreakBefore w:val="0"/>
              <w:widowControl/>
              <w:kinsoku w:val="0"/>
              <w:wordWrap/>
              <w:overflowPunct/>
              <w:topLinePunct w:val="0"/>
              <w:autoSpaceDE w:val="0"/>
              <w:autoSpaceDN w:val="0"/>
              <w:bidi w:val="0"/>
              <w:adjustRightInd w:val="0"/>
              <w:snapToGrid w:val="0"/>
              <w:spacing w:before="217"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5"/>
                <w:sz w:val="28"/>
                <w:szCs w:val="28"/>
                <w:highlight w:val="none"/>
              </w:rPr>
              <w:t>151-200</w:t>
            </w:r>
          </w:p>
        </w:tc>
        <w:tc>
          <w:tcPr>
            <w:tcW w:w="2219" w:type="dxa"/>
            <w:noWrap w:val="0"/>
            <w:vAlign w:val="center"/>
          </w:tcPr>
          <w:p w14:paraId="00CFF5F7">
            <w:pPr>
              <w:pStyle w:val="9"/>
              <w:keepNext w:val="0"/>
              <w:keepLines w:val="0"/>
              <w:pageBreakBefore w:val="0"/>
              <w:widowControl/>
              <w:kinsoku w:val="0"/>
              <w:wordWrap/>
              <w:overflowPunct/>
              <w:topLinePunct w:val="0"/>
              <w:autoSpaceDE w:val="0"/>
              <w:autoSpaceDN w:val="0"/>
              <w:bidi w:val="0"/>
              <w:adjustRightInd w:val="0"/>
              <w:snapToGrid w:val="0"/>
              <w:spacing w:before="218"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480</w:t>
            </w:r>
          </w:p>
        </w:tc>
        <w:tc>
          <w:tcPr>
            <w:tcW w:w="2462" w:type="dxa"/>
            <w:noWrap w:val="0"/>
            <w:vAlign w:val="center"/>
          </w:tcPr>
          <w:p w14:paraId="2C3E8954">
            <w:pPr>
              <w:pStyle w:val="9"/>
              <w:keepNext w:val="0"/>
              <w:keepLines w:val="0"/>
              <w:pageBreakBefore w:val="0"/>
              <w:widowControl/>
              <w:kinsoku w:val="0"/>
              <w:wordWrap/>
              <w:overflowPunct/>
              <w:topLinePunct w:val="0"/>
              <w:autoSpaceDE w:val="0"/>
              <w:autoSpaceDN w:val="0"/>
              <w:bidi w:val="0"/>
              <w:adjustRightInd w:val="0"/>
              <w:snapToGrid w:val="0"/>
              <w:spacing w:before="218"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60</w:t>
            </w:r>
          </w:p>
        </w:tc>
      </w:tr>
      <w:tr w14:paraId="6C3E9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1867" w:type="dxa"/>
            <w:vMerge w:val="continue"/>
            <w:tcBorders>
              <w:top w:val="nil"/>
              <w:bottom w:val="nil"/>
            </w:tcBorders>
            <w:noWrap w:val="0"/>
            <w:vAlign w:val="top"/>
          </w:tcPr>
          <w:p w14:paraId="12B66437">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0B6E9AF8">
            <w:pPr>
              <w:pStyle w:val="9"/>
              <w:keepNext w:val="0"/>
              <w:keepLines w:val="0"/>
              <w:pageBreakBefore w:val="0"/>
              <w:widowControl/>
              <w:kinsoku w:val="0"/>
              <w:wordWrap/>
              <w:overflowPunct/>
              <w:topLinePunct w:val="0"/>
              <w:autoSpaceDE w:val="0"/>
              <w:autoSpaceDN w:val="0"/>
              <w:bidi w:val="0"/>
              <w:adjustRightInd w:val="0"/>
              <w:snapToGrid w:val="0"/>
              <w:spacing w:before="228"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201-250</w:t>
            </w:r>
          </w:p>
        </w:tc>
        <w:tc>
          <w:tcPr>
            <w:tcW w:w="2219" w:type="dxa"/>
            <w:noWrap w:val="0"/>
            <w:vAlign w:val="center"/>
          </w:tcPr>
          <w:p w14:paraId="179F8C6D">
            <w:pPr>
              <w:pStyle w:val="9"/>
              <w:keepNext w:val="0"/>
              <w:keepLines w:val="0"/>
              <w:pageBreakBefore w:val="0"/>
              <w:widowControl/>
              <w:kinsoku w:val="0"/>
              <w:wordWrap/>
              <w:overflowPunct/>
              <w:topLinePunct w:val="0"/>
              <w:autoSpaceDE w:val="0"/>
              <w:autoSpaceDN w:val="0"/>
              <w:bidi w:val="0"/>
              <w:adjustRightInd w:val="0"/>
              <w:snapToGrid w:val="0"/>
              <w:spacing w:before="229"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440</w:t>
            </w:r>
          </w:p>
        </w:tc>
        <w:tc>
          <w:tcPr>
            <w:tcW w:w="2462" w:type="dxa"/>
            <w:noWrap w:val="0"/>
            <w:vAlign w:val="center"/>
          </w:tcPr>
          <w:p w14:paraId="6368874A">
            <w:pPr>
              <w:pStyle w:val="9"/>
              <w:keepNext w:val="0"/>
              <w:keepLines w:val="0"/>
              <w:pageBreakBefore w:val="0"/>
              <w:widowControl/>
              <w:kinsoku w:val="0"/>
              <w:wordWrap/>
              <w:overflowPunct/>
              <w:topLinePunct w:val="0"/>
              <w:autoSpaceDE w:val="0"/>
              <w:autoSpaceDN w:val="0"/>
              <w:bidi w:val="0"/>
              <w:adjustRightInd w:val="0"/>
              <w:snapToGrid w:val="0"/>
              <w:spacing w:before="229"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80</w:t>
            </w:r>
          </w:p>
        </w:tc>
      </w:tr>
      <w:tr w14:paraId="036BE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867" w:type="dxa"/>
            <w:vMerge w:val="continue"/>
            <w:tcBorders>
              <w:top w:val="nil"/>
              <w:bottom w:val="nil"/>
            </w:tcBorders>
            <w:noWrap w:val="0"/>
            <w:vAlign w:val="top"/>
          </w:tcPr>
          <w:p w14:paraId="6BAAA2B9">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1E993158">
            <w:pPr>
              <w:pStyle w:val="9"/>
              <w:keepNext w:val="0"/>
              <w:keepLines w:val="0"/>
              <w:pageBreakBefore w:val="0"/>
              <w:widowControl/>
              <w:kinsoku w:val="0"/>
              <w:wordWrap/>
              <w:overflowPunct/>
              <w:topLinePunct w:val="0"/>
              <w:autoSpaceDE w:val="0"/>
              <w:autoSpaceDN w:val="0"/>
              <w:bidi w:val="0"/>
              <w:adjustRightInd w:val="0"/>
              <w:snapToGrid w:val="0"/>
              <w:spacing w:before="219"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251-300</w:t>
            </w:r>
          </w:p>
        </w:tc>
        <w:tc>
          <w:tcPr>
            <w:tcW w:w="2219" w:type="dxa"/>
            <w:noWrap w:val="0"/>
            <w:vAlign w:val="center"/>
          </w:tcPr>
          <w:p w14:paraId="7C99BA2D">
            <w:pPr>
              <w:pStyle w:val="9"/>
              <w:keepNext w:val="0"/>
              <w:keepLines w:val="0"/>
              <w:pageBreakBefore w:val="0"/>
              <w:widowControl/>
              <w:kinsoku w:val="0"/>
              <w:wordWrap/>
              <w:overflowPunct/>
              <w:topLinePunct w:val="0"/>
              <w:autoSpaceDE w:val="0"/>
              <w:autoSpaceDN w:val="0"/>
              <w:bidi w:val="0"/>
              <w:adjustRightInd w:val="0"/>
              <w:snapToGrid w:val="0"/>
              <w:spacing w:before="220"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360</w:t>
            </w:r>
          </w:p>
        </w:tc>
        <w:tc>
          <w:tcPr>
            <w:tcW w:w="2462" w:type="dxa"/>
            <w:noWrap w:val="0"/>
            <w:vAlign w:val="center"/>
          </w:tcPr>
          <w:p w14:paraId="4FEE3FD7">
            <w:pPr>
              <w:pStyle w:val="9"/>
              <w:keepNext w:val="0"/>
              <w:keepLines w:val="0"/>
              <w:pageBreakBefore w:val="0"/>
              <w:widowControl/>
              <w:kinsoku w:val="0"/>
              <w:wordWrap/>
              <w:overflowPunct/>
              <w:topLinePunct w:val="0"/>
              <w:autoSpaceDE w:val="0"/>
              <w:autoSpaceDN w:val="0"/>
              <w:bidi w:val="0"/>
              <w:adjustRightInd w:val="0"/>
              <w:snapToGrid w:val="0"/>
              <w:spacing w:before="219"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100</w:t>
            </w:r>
          </w:p>
        </w:tc>
      </w:tr>
      <w:tr w14:paraId="45502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867" w:type="dxa"/>
            <w:vMerge w:val="continue"/>
            <w:tcBorders>
              <w:top w:val="nil"/>
              <w:bottom w:val="nil"/>
            </w:tcBorders>
            <w:noWrap w:val="0"/>
            <w:vAlign w:val="top"/>
          </w:tcPr>
          <w:p w14:paraId="4ED274FE">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79DD0617">
            <w:pPr>
              <w:pStyle w:val="9"/>
              <w:keepNext w:val="0"/>
              <w:keepLines w:val="0"/>
              <w:pageBreakBefore w:val="0"/>
              <w:widowControl/>
              <w:kinsoku w:val="0"/>
              <w:wordWrap/>
              <w:overflowPunct/>
              <w:topLinePunct w:val="0"/>
              <w:autoSpaceDE w:val="0"/>
              <w:autoSpaceDN w:val="0"/>
              <w:bidi w:val="0"/>
              <w:adjustRightInd w:val="0"/>
              <w:snapToGrid w:val="0"/>
              <w:spacing w:before="220"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301-350</w:t>
            </w:r>
          </w:p>
        </w:tc>
        <w:tc>
          <w:tcPr>
            <w:tcW w:w="2219" w:type="dxa"/>
            <w:noWrap w:val="0"/>
            <w:vAlign w:val="center"/>
          </w:tcPr>
          <w:p w14:paraId="785A0230">
            <w:pPr>
              <w:pStyle w:val="9"/>
              <w:keepNext w:val="0"/>
              <w:keepLines w:val="0"/>
              <w:pageBreakBefore w:val="0"/>
              <w:widowControl/>
              <w:kinsoku w:val="0"/>
              <w:wordWrap/>
              <w:overflowPunct/>
              <w:topLinePunct w:val="0"/>
              <w:autoSpaceDE w:val="0"/>
              <w:autoSpaceDN w:val="0"/>
              <w:bidi w:val="0"/>
              <w:adjustRightInd w:val="0"/>
              <w:snapToGrid w:val="0"/>
              <w:spacing w:before="221"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310</w:t>
            </w:r>
          </w:p>
        </w:tc>
        <w:tc>
          <w:tcPr>
            <w:tcW w:w="2462" w:type="dxa"/>
            <w:noWrap w:val="0"/>
            <w:vAlign w:val="center"/>
          </w:tcPr>
          <w:p w14:paraId="06F69CDF">
            <w:pPr>
              <w:pStyle w:val="9"/>
              <w:keepNext w:val="0"/>
              <w:keepLines w:val="0"/>
              <w:pageBreakBefore w:val="0"/>
              <w:widowControl/>
              <w:kinsoku w:val="0"/>
              <w:wordWrap/>
              <w:overflowPunct/>
              <w:topLinePunct w:val="0"/>
              <w:autoSpaceDE w:val="0"/>
              <w:autoSpaceDN w:val="0"/>
              <w:bidi w:val="0"/>
              <w:adjustRightInd w:val="0"/>
              <w:snapToGrid w:val="0"/>
              <w:spacing w:before="220"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120</w:t>
            </w:r>
          </w:p>
        </w:tc>
      </w:tr>
      <w:tr w14:paraId="388D8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867" w:type="dxa"/>
            <w:vMerge w:val="continue"/>
            <w:tcBorders>
              <w:top w:val="nil"/>
              <w:bottom w:val="nil"/>
            </w:tcBorders>
            <w:noWrap w:val="0"/>
            <w:vAlign w:val="top"/>
          </w:tcPr>
          <w:p w14:paraId="0F16BA10">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31DAFABE">
            <w:pPr>
              <w:pStyle w:val="9"/>
              <w:keepNext w:val="0"/>
              <w:keepLines w:val="0"/>
              <w:pageBreakBefore w:val="0"/>
              <w:widowControl/>
              <w:kinsoku w:val="0"/>
              <w:wordWrap/>
              <w:overflowPunct/>
              <w:topLinePunct w:val="0"/>
              <w:autoSpaceDE w:val="0"/>
              <w:autoSpaceDN w:val="0"/>
              <w:bidi w:val="0"/>
              <w:adjustRightInd w:val="0"/>
              <w:snapToGrid w:val="0"/>
              <w:spacing w:before="230"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351-400</w:t>
            </w:r>
          </w:p>
        </w:tc>
        <w:tc>
          <w:tcPr>
            <w:tcW w:w="2219" w:type="dxa"/>
            <w:noWrap w:val="0"/>
            <w:vAlign w:val="center"/>
          </w:tcPr>
          <w:p w14:paraId="27E54806">
            <w:pPr>
              <w:pStyle w:val="9"/>
              <w:keepNext w:val="0"/>
              <w:keepLines w:val="0"/>
              <w:pageBreakBefore w:val="0"/>
              <w:widowControl/>
              <w:kinsoku w:val="0"/>
              <w:wordWrap/>
              <w:overflowPunct/>
              <w:topLinePunct w:val="0"/>
              <w:autoSpaceDE w:val="0"/>
              <w:autoSpaceDN w:val="0"/>
              <w:bidi w:val="0"/>
              <w:adjustRightInd w:val="0"/>
              <w:snapToGrid w:val="0"/>
              <w:spacing w:before="231"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240</w:t>
            </w:r>
          </w:p>
        </w:tc>
        <w:tc>
          <w:tcPr>
            <w:tcW w:w="2462" w:type="dxa"/>
            <w:noWrap w:val="0"/>
            <w:vAlign w:val="center"/>
          </w:tcPr>
          <w:p w14:paraId="4FA58646">
            <w:pPr>
              <w:pStyle w:val="9"/>
              <w:keepNext w:val="0"/>
              <w:keepLines w:val="0"/>
              <w:pageBreakBefore w:val="0"/>
              <w:widowControl/>
              <w:kinsoku w:val="0"/>
              <w:wordWrap/>
              <w:overflowPunct/>
              <w:topLinePunct w:val="0"/>
              <w:autoSpaceDE w:val="0"/>
              <w:autoSpaceDN w:val="0"/>
              <w:bidi w:val="0"/>
              <w:adjustRightInd w:val="0"/>
              <w:snapToGrid w:val="0"/>
              <w:spacing w:before="230"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160</w:t>
            </w:r>
          </w:p>
        </w:tc>
      </w:tr>
      <w:tr w14:paraId="27A64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867" w:type="dxa"/>
            <w:vMerge w:val="continue"/>
            <w:tcBorders>
              <w:top w:val="nil"/>
              <w:bottom w:val="nil"/>
            </w:tcBorders>
            <w:noWrap w:val="0"/>
            <w:vAlign w:val="top"/>
          </w:tcPr>
          <w:p w14:paraId="486F2393">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04CE3CB6">
            <w:pPr>
              <w:pStyle w:val="9"/>
              <w:keepNext w:val="0"/>
              <w:keepLines w:val="0"/>
              <w:pageBreakBefore w:val="0"/>
              <w:widowControl/>
              <w:kinsoku w:val="0"/>
              <w:wordWrap/>
              <w:overflowPunct/>
              <w:topLinePunct w:val="0"/>
              <w:autoSpaceDE w:val="0"/>
              <w:autoSpaceDN w:val="0"/>
              <w:bidi w:val="0"/>
              <w:adjustRightInd w:val="0"/>
              <w:snapToGrid w:val="0"/>
              <w:spacing w:before="221"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401-450</w:t>
            </w:r>
          </w:p>
        </w:tc>
        <w:tc>
          <w:tcPr>
            <w:tcW w:w="2219" w:type="dxa"/>
            <w:noWrap w:val="0"/>
            <w:vAlign w:val="center"/>
          </w:tcPr>
          <w:p w14:paraId="4B5ADFEA">
            <w:pPr>
              <w:pStyle w:val="9"/>
              <w:keepNext w:val="0"/>
              <w:keepLines w:val="0"/>
              <w:pageBreakBefore w:val="0"/>
              <w:widowControl/>
              <w:kinsoku w:val="0"/>
              <w:wordWrap/>
              <w:overflowPunct/>
              <w:topLinePunct w:val="0"/>
              <w:autoSpaceDE w:val="0"/>
              <w:autoSpaceDN w:val="0"/>
              <w:bidi w:val="0"/>
              <w:adjustRightInd w:val="0"/>
              <w:snapToGrid w:val="0"/>
              <w:spacing w:before="222"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220</w:t>
            </w:r>
          </w:p>
        </w:tc>
        <w:tc>
          <w:tcPr>
            <w:tcW w:w="2462" w:type="dxa"/>
            <w:noWrap w:val="0"/>
            <w:vAlign w:val="center"/>
          </w:tcPr>
          <w:p w14:paraId="1C496E84">
            <w:pPr>
              <w:pStyle w:val="9"/>
              <w:keepNext w:val="0"/>
              <w:keepLines w:val="0"/>
              <w:pageBreakBefore w:val="0"/>
              <w:widowControl/>
              <w:kinsoku w:val="0"/>
              <w:wordWrap/>
              <w:overflowPunct/>
              <w:topLinePunct w:val="0"/>
              <w:autoSpaceDE w:val="0"/>
              <w:autoSpaceDN w:val="0"/>
              <w:bidi w:val="0"/>
              <w:adjustRightInd w:val="0"/>
              <w:snapToGrid w:val="0"/>
              <w:spacing w:before="221"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190</w:t>
            </w:r>
          </w:p>
        </w:tc>
      </w:tr>
      <w:tr w14:paraId="7D7E1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67" w:type="dxa"/>
            <w:vMerge w:val="continue"/>
            <w:tcBorders>
              <w:top w:val="nil"/>
            </w:tcBorders>
            <w:noWrap w:val="0"/>
            <w:vAlign w:val="top"/>
          </w:tcPr>
          <w:p w14:paraId="0D23DDBC">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1" w:type="dxa"/>
            <w:noWrap w:val="0"/>
            <w:vAlign w:val="center"/>
          </w:tcPr>
          <w:p w14:paraId="2C8F2F2E">
            <w:pPr>
              <w:pStyle w:val="9"/>
              <w:keepNext w:val="0"/>
              <w:keepLines w:val="0"/>
              <w:pageBreakBefore w:val="0"/>
              <w:widowControl/>
              <w:kinsoku w:val="0"/>
              <w:wordWrap/>
              <w:overflowPunct/>
              <w:topLinePunct w:val="0"/>
              <w:autoSpaceDE w:val="0"/>
              <w:autoSpaceDN w:val="0"/>
              <w:bidi w:val="0"/>
              <w:adjustRightInd w:val="0"/>
              <w:snapToGrid w:val="0"/>
              <w:spacing w:before="173" w:line="560" w:lineRule="exact"/>
              <w:ind w:left="0"/>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451以上</w:t>
            </w:r>
          </w:p>
        </w:tc>
        <w:tc>
          <w:tcPr>
            <w:tcW w:w="2219" w:type="dxa"/>
            <w:noWrap w:val="0"/>
            <w:vAlign w:val="center"/>
          </w:tcPr>
          <w:p w14:paraId="63B6BC29">
            <w:pPr>
              <w:pStyle w:val="9"/>
              <w:keepNext w:val="0"/>
              <w:keepLines w:val="0"/>
              <w:pageBreakBefore w:val="0"/>
              <w:widowControl/>
              <w:kinsoku w:val="0"/>
              <w:wordWrap/>
              <w:overflowPunct/>
              <w:topLinePunct w:val="0"/>
              <w:autoSpaceDE w:val="0"/>
              <w:autoSpaceDN w:val="0"/>
              <w:bidi w:val="0"/>
              <w:adjustRightInd w:val="0"/>
              <w:snapToGrid w:val="0"/>
              <w:spacing w:before="233" w:line="560" w:lineRule="exact"/>
              <w:jc w:val="center"/>
              <w:textAlignment w:val="baseline"/>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200</w:t>
            </w:r>
          </w:p>
        </w:tc>
        <w:tc>
          <w:tcPr>
            <w:tcW w:w="2462" w:type="dxa"/>
            <w:noWrap w:val="0"/>
            <w:vAlign w:val="center"/>
          </w:tcPr>
          <w:p w14:paraId="33FBEB22">
            <w:pPr>
              <w:pStyle w:val="9"/>
              <w:keepNext w:val="0"/>
              <w:keepLines w:val="0"/>
              <w:pageBreakBefore w:val="0"/>
              <w:widowControl/>
              <w:kinsoku w:val="0"/>
              <w:wordWrap/>
              <w:overflowPunct/>
              <w:topLinePunct w:val="0"/>
              <w:autoSpaceDE w:val="0"/>
              <w:autoSpaceDN w:val="0"/>
              <w:bidi w:val="0"/>
              <w:adjustRightInd w:val="0"/>
              <w:snapToGrid w:val="0"/>
              <w:spacing w:before="233" w:line="560" w:lineRule="exact"/>
              <w:jc w:val="center"/>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220</w:t>
            </w:r>
          </w:p>
        </w:tc>
      </w:tr>
      <w:tr w14:paraId="28291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6" w:hRule="atLeast"/>
        </w:trPr>
        <w:tc>
          <w:tcPr>
            <w:tcW w:w="8739" w:type="dxa"/>
            <w:gridSpan w:val="4"/>
            <w:noWrap w:val="0"/>
            <w:vAlign w:val="top"/>
          </w:tcPr>
          <w:p w14:paraId="04725E87">
            <w:pPr>
              <w:pStyle w:val="9"/>
              <w:keepNext w:val="0"/>
              <w:keepLines w:val="0"/>
              <w:pageBreakBefore w:val="0"/>
              <w:wordWrap/>
              <w:overflowPunct/>
              <w:topLinePunct w:val="0"/>
              <w:bidi w:val="0"/>
              <w:spacing w:before="69" w:line="560" w:lineRule="exact"/>
              <w:jc w:val="both"/>
              <w:rPr>
                <w:rFonts w:hint="eastAsia" w:ascii="Times New Roman" w:hAnsi="Times New Roman" w:eastAsia="仿宋_GB2312" w:cs="仿宋_GB2312"/>
                <w:b/>
                <w:bCs/>
                <w:color w:val="000000"/>
                <w:spacing w:val="-12"/>
                <w:sz w:val="28"/>
                <w:szCs w:val="28"/>
                <w:highlight w:val="none"/>
              </w:rPr>
            </w:pPr>
            <w:r>
              <w:rPr>
                <w:rFonts w:hint="eastAsia" w:ascii="Times New Roman" w:hAnsi="Times New Roman" w:eastAsia="仿宋_GB2312" w:cs="仿宋_GB2312"/>
                <w:b/>
                <w:bCs/>
                <w:color w:val="000000"/>
                <w:spacing w:val="-12"/>
                <w:sz w:val="28"/>
                <w:szCs w:val="28"/>
                <w:highlight w:val="none"/>
              </w:rPr>
              <w:t>说明：</w:t>
            </w:r>
          </w:p>
          <w:p w14:paraId="5E4D8C5A">
            <w:pPr>
              <w:pStyle w:val="9"/>
              <w:keepNext w:val="0"/>
              <w:keepLines w:val="0"/>
              <w:pageBreakBefore w:val="0"/>
              <w:widowControl/>
              <w:kinsoku w:val="0"/>
              <w:wordWrap/>
              <w:overflowPunct/>
              <w:topLinePunct w:val="0"/>
              <w:autoSpaceDE w:val="0"/>
              <w:autoSpaceDN w:val="0"/>
              <w:bidi w:val="0"/>
              <w:adjustRightInd w:val="0"/>
              <w:snapToGrid w:val="0"/>
              <w:spacing w:before="69" w:line="560" w:lineRule="exact"/>
              <w:ind w:firstLine="432" w:firstLineChars="200"/>
              <w:jc w:val="both"/>
              <w:textAlignment w:val="baseline"/>
              <w:rPr>
                <w:rFonts w:hint="eastAsia" w:ascii="Times New Roman" w:hAnsi="Times New Roman" w:eastAsia="仿宋_GB2312" w:cs="仿宋_GB2312"/>
                <w:color w:val="000000"/>
                <w:sz w:val="24"/>
                <w:szCs w:val="24"/>
                <w:highlight w:val="none"/>
              </w:rPr>
            </w:pPr>
            <w:r>
              <w:rPr>
                <w:rFonts w:hint="eastAsia" w:ascii="Times New Roman" w:hAnsi="Times New Roman" w:eastAsia="仿宋_GB2312" w:cs="仿宋_GB2312"/>
                <w:color w:val="000000"/>
                <w:spacing w:val="-12"/>
                <w:sz w:val="24"/>
                <w:szCs w:val="24"/>
                <w:highlight w:val="none"/>
              </w:rPr>
              <w:t>1.每亩种植数量在规定最大亩载数量以内的，据实补偿；超</w:t>
            </w:r>
            <w:r>
              <w:rPr>
                <w:rFonts w:hint="eastAsia" w:ascii="Times New Roman" w:hAnsi="Times New Roman" w:eastAsia="仿宋_GB2312" w:cs="仿宋_GB2312"/>
                <w:color w:val="000000"/>
                <w:spacing w:val="-13"/>
                <w:sz w:val="24"/>
                <w:szCs w:val="24"/>
                <w:highlight w:val="none"/>
              </w:rPr>
              <w:t>过最大亩载数量的</w:t>
            </w:r>
            <w:r>
              <w:rPr>
                <w:rFonts w:hint="eastAsia" w:ascii="Times New Roman" w:hAnsi="Times New Roman" w:eastAsia="仿宋_GB2312" w:cs="仿宋_GB2312"/>
                <w:color w:val="000000"/>
                <w:sz w:val="24"/>
                <w:szCs w:val="24"/>
                <w:highlight w:val="none"/>
              </w:rPr>
              <w:t>部分全部不予补偿。今后将逐步下调最大亩载数量，直</w:t>
            </w:r>
            <w:r>
              <w:rPr>
                <w:rFonts w:hint="eastAsia" w:ascii="Times New Roman" w:hAnsi="Times New Roman" w:eastAsia="仿宋_GB2312" w:cs="仿宋_GB2312"/>
                <w:color w:val="000000"/>
                <w:spacing w:val="-1"/>
                <w:sz w:val="24"/>
                <w:szCs w:val="24"/>
                <w:highlight w:val="none"/>
              </w:rPr>
              <w:t>至合理范围。</w:t>
            </w:r>
          </w:p>
          <w:p w14:paraId="33553E14">
            <w:pPr>
              <w:pStyle w:val="9"/>
              <w:keepNext w:val="0"/>
              <w:keepLines w:val="0"/>
              <w:pageBreakBefore w:val="0"/>
              <w:widowControl/>
              <w:kinsoku w:val="0"/>
              <w:wordWrap/>
              <w:overflowPunct/>
              <w:topLinePunct w:val="0"/>
              <w:autoSpaceDE w:val="0"/>
              <w:autoSpaceDN w:val="0"/>
              <w:bidi w:val="0"/>
              <w:adjustRightInd w:val="0"/>
              <w:snapToGrid w:val="0"/>
              <w:spacing w:before="69" w:line="560" w:lineRule="exact"/>
              <w:ind w:firstLine="480" w:firstLineChars="200"/>
              <w:jc w:val="both"/>
              <w:textAlignment w:val="baseline"/>
              <w:rPr>
                <w:rFonts w:hint="eastAsia" w:ascii="Times New Roman" w:hAnsi="Times New Roman" w:eastAsia="仿宋_GB2312" w:cs="仿宋_GB2312"/>
                <w:color w:val="000000"/>
                <w:sz w:val="24"/>
                <w:szCs w:val="24"/>
                <w:highlight w:val="none"/>
              </w:rPr>
            </w:pPr>
            <w:r>
              <w:rPr>
                <w:rFonts w:hint="eastAsia" w:ascii="Times New Roman" w:hAnsi="Times New Roman" w:eastAsia="仿宋_GB2312" w:cs="仿宋_GB2312"/>
                <w:color w:val="000000"/>
                <w:sz w:val="24"/>
                <w:szCs w:val="24"/>
                <w:highlight w:val="none"/>
                <w:lang w:val="en-US" w:eastAsia="zh-CN"/>
              </w:rPr>
              <w:t>2.</w:t>
            </w:r>
            <w:r>
              <w:rPr>
                <w:rFonts w:hint="eastAsia" w:ascii="Times New Roman" w:hAnsi="Times New Roman" w:eastAsia="仿宋_GB2312" w:cs="仿宋_GB2312"/>
                <w:color w:val="000000"/>
                <w:sz w:val="24"/>
                <w:szCs w:val="24"/>
                <w:highlight w:val="none"/>
              </w:rPr>
              <w:t>油松、云杉、樟子松等针叶类树种按照松树的标</w:t>
            </w:r>
            <w:r>
              <w:rPr>
                <w:rFonts w:hint="eastAsia" w:ascii="Times New Roman" w:hAnsi="Times New Roman" w:eastAsia="仿宋_GB2312" w:cs="仿宋_GB2312"/>
                <w:color w:val="000000"/>
                <w:spacing w:val="-1"/>
                <w:sz w:val="24"/>
                <w:szCs w:val="24"/>
                <w:highlight w:val="none"/>
              </w:rPr>
              <w:t>准予以补偿。</w:t>
            </w:r>
          </w:p>
          <w:p w14:paraId="42CF2F6B">
            <w:pPr>
              <w:pStyle w:val="9"/>
              <w:keepNext w:val="0"/>
              <w:keepLines w:val="0"/>
              <w:pageBreakBefore w:val="0"/>
              <w:widowControl/>
              <w:kinsoku w:val="0"/>
              <w:wordWrap/>
              <w:overflowPunct/>
              <w:topLinePunct w:val="0"/>
              <w:autoSpaceDE w:val="0"/>
              <w:autoSpaceDN w:val="0"/>
              <w:bidi w:val="0"/>
              <w:adjustRightInd w:val="0"/>
              <w:snapToGrid w:val="0"/>
              <w:spacing w:before="18" w:line="560" w:lineRule="exact"/>
              <w:ind w:right="206" w:firstLine="480" w:firstLineChars="200"/>
              <w:textAlignment w:val="baseline"/>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4"/>
                <w:szCs w:val="24"/>
                <w:highlight w:val="none"/>
              </w:rPr>
              <w:t>3.不符合正常生长特征的苗木(冠幅达到树高的50%),按对应标准的60%折</w:t>
            </w:r>
            <w:r>
              <w:rPr>
                <w:rFonts w:hint="eastAsia" w:ascii="Times New Roman" w:hAnsi="Times New Roman" w:eastAsia="仿宋_GB2312" w:cs="仿宋_GB2312"/>
                <w:color w:val="000000"/>
                <w:spacing w:val="-1"/>
                <w:sz w:val="24"/>
                <w:szCs w:val="24"/>
                <w:highlight w:val="none"/>
              </w:rPr>
              <w:t>价补偿。</w:t>
            </w:r>
          </w:p>
        </w:tc>
      </w:tr>
    </w:tbl>
    <w:p w14:paraId="20A6AFA5">
      <w:pPr>
        <w:keepNext w:val="0"/>
        <w:keepLines w:val="0"/>
        <w:pageBreakBefore w:val="0"/>
        <w:wordWrap/>
        <w:overflowPunct/>
        <w:topLinePunct w:val="0"/>
        <w:bidi w:val="0"/>
        <w:spacing w:before="101" w:line="560" w:lineRule="exact"/>
        <w:ind w:firstLine="616" w:firstLineChars="200"/>
        <w:outlineLvl w:val="6"/>
        <w:rPr>
          <w:rFonts w:hint="eastAsia" w:ascii="Times New Roman" w:hAnsi="Times New Roman" w:eastAsia="黑体" w:cs="黑体"/>
          <w:b w:val="0"/>
          <w:bCs w:val="0"/>
          <w:color w:val="000000"/>
          <w:spacing w:val="-6"/>
          <w:sz w:val="32"/>
          <w:szCs w:val="32"/>
          <w:highlight w:val="none"/>
        </w:rPr>
      </w:pPr>
      <w:r>
        <w:rPr>
          <w:rFonts w:hint="eastAsia" w:ascii="Times New Roman" w:hAnsi="Times New Roman" w:eastAsia="黑体" w:cs="黑体"/>
          <w:b w:val="0"/>
          <w:bCs w:val="0"/>
          <w:color w:val="000000"/>
          <w:spacing w:val="-6"/>
          <w:sz w:val="32"/>
          <w:szCs w:val="32"/>
          <w:highlight w:val="none"/>
          <w:lang w:val="en-US" w:eastAsia="zh-CN"/>
        </w:rPr>
        <w:t>七</w:t>
      </w:r>
      <w:r>
        <w:rPr>
          <w:rFonts w:hint="eastAsia" w:ascii="Times New Roman" w:hAnsi="Times New Roman" w:eastAsia="黑体" w:cs="黑体"/>
          <w:b w:val="0"/>
          <w:bCs w:val="0"/>
          <w:color w:val="000000"/>
          <w:spacing w:val="-6"/>
          <w:sz w:val="32"/>
          <w:szCs w:val="32"/>
          <w:highlight w:val="none"/>
        </w:rPr>
        <w:t>、榆树、沙枣树</w:t>
      </w:r>
    </w:p>
    <w:tbl>
      <w:tblPr>
        <w:tblStyle w:val="10"/>
        <w:tblW w:w="8799"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63"/>
        <w:gridCol w:w="2193"/>
        <w:gridCol w:w="1245"/>
        <w:gridCol w:w="1775"/>
        <w:gridCol w:w="1723"/>
      </w:tblGrid>
      <w:tr w14:paraId="09ABB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1863" w:type="dxa"/>
            <w:noWrap w:val="0"/>
            <w:vAlign w:val="top"/>
          </w:tcPr>
          <w:p w14:paraId="71134056">
            <w:pPr>
              <w:pStyle w:val="9"/>
              <w:keepNext w:val="0"/>
              <w:keepLines w:val="0"/>
              <w:pageBreakBefore w:val="0"/>
              <w:wordWrap/>
              <w:overflowPunct/>
              <w:topLinePunct w:val="0"/>
              <w:bidi w:val="0"/>
              <w:spacing w:before="273" w:line="560" w:lineRule="exact"/>
              <w:ind w:left="658"/>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6"/>
                <w:sz w:val="32"/>
                <w:szCs w:val="32"/>
                <w:highlight w:val="none"/>
              </w:rPr>
              <w:t>品种</w:t>
            </w:r>
          </w:p>
        </w:tc>
        <w:tc>
          <w:tcPr>
            <w:tcW w:w="2193" w:type="dxa"/>
            <w:noWrap w:val="0"/>
            <w:vAlign w:val="center"/>
          </w:tcPr>
          <w:p w14:paraId="1203FF6A">
            <w:pPr>
              <w:pStyle w:val="9"/>
              <w:keepNext w:val="0"/>
              <w:keepLines w:val="0"/>
              <w:pageBreakBefore w:val="0"/>
              <w:wordWrap/>
              <w:overflowPunct/>
              <w:topLinePunct w:val="0"/>
              <w:bidi w:val="0"/>
              <w:spacing w:before="69" w:line="560" w:lineRule="exact"/>
              <w:ind w:left="0" w:right="0" w:firstLine="0"/>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6"/>
                <w:sz w:val="32"/>
                <w:szCs w:val="32"/>
                <w:highlight w:val="none"/>
              </w:rPr>
              <w:t>胸径 (cm)</w:t>
            </w:r>
          </w:p>
        </w:tc>
        <w:tc>
          <w:tcPr>
            <w:tcW w:w="1245" w:type="dxa"/>
            <w:noWrap w:val="0"/>
            <w:vAlign w:val="center"/>
          </w:tcPr>
          <w:p w14:paraId="42C542FC">
            <w:pPr>
              <w:pStyle w:val="9"/>
              <w:keepNext w:val="0"/>
              <w:keepLines w:val="0"/>
              <w:pageBreakBefore w:val="0"/>
              <w:wordWrap/>
              <w:overflowPunct/>
              <w:topLinePunct w:val="0"/>
              <w:bidi w:val="0"/>
              <w:spacing w:before="69" w:line="560" w:lineRule="exact"/>
              <w:ind w:left="0"/>
              <w:jc w:val="center"/>
              <w:rPr>
                <w:rFonts w:hint="eastAsia" w:ascii="Times New Roman" w:hAnsi="Times New Roman" w:eastAsia="黑体" w:cs="黑体"/>
                <w:b w:val="0"/>
                <w:bCs w:val="0"/>
                <w:color w:val="000000"/>
                <w:spacing w:val="-6"/>
                <w:sz w:val="32"/>
                <w:szCs w:val="32"/>
                <w:highlight w:val="none"/>
              </w:rPr>
            </w:pPr>
            <w:r>
              <w:rPr>
                <w:rFonts w:hint="eastAsia" w:ascii="Times New Roman" w:hAnsi="Times New Roman" w:eastAsia="黑体" w:cs="黑体"/>
                <w:b w:val="0"/>
                <w:bCs w:val="0"/>
                <w:color w:val="000000"/>
                <w:spacing w:val="-6"/>
                <w:sz w:val="32"/>
                <w:szCs w:val="32"/>
                <w:highlight w:val="none"/>
              </w:rPr>
              <w:t>单位</w:t>
            </w:r>
          </w:p>
        </w:tc>
        <w:tc>
          <w:tcPr>
            <w:tcW w:w="1775" w:type="dxa"/>
            <w:noWrap w:val="0"/>
            <w:vAlign w:val="center"/>
          </w:tcPr>
          <w:p w14:paraId="447B15D1">
            <w:pPr>
              <w:pStyle w:val="9"/>
              <w:keepNext w:val="0"/>
              <w:keepLines w:val="0"/>
              <w:pageBreakBefore w:val="0"/>
              <w:wordWrap/>
              <w:overflowPunct/>
              <w:topLinePunct w:val="0"/>
              <w:bidi w:val="0"/>
              <w:spacing w:before="69" w:line="560" w:lineRule="exact"/>
              <w:ind w:left="0"/>
              <w:jc w:val="center"/>
              <w:rPr>
                <w:rFonts w:hint="eastAsia" w:ascii="Times New Roman" w:hAnsi="Times New Roman" w:eastAsia="黑体" w:cs="黑体"/>
                <w:b w:val="0"/>
                <w:bCs w:val="0"/>
                <w:color w:val="000000"/>
                <w:spacing w:val="-6"/>
                <w:sz w:val="32"/>
                <w:szCs w:val="32"/>
                <w:highlight w:val="none"/>
              </w:rPr>
            </w:pPr>
            <w:r>
              <w:rPr>
                <w:rFonts w:hint="eastAsia" w:ascii="Times New Roman" w:hAnsi="Times New Roman" w:eastAsia="黑体" w:cs="黑体"/>
                <w:b w:val="0"/>
                <w:bCs w:val="0"/>
                <w:color w:val="000000"/>
                <w:spacing w:val="-6"/>
                <w:sz w:val="32"/>
                <w:szCs w:val="32"/>
                <w:highlight w:val="none"/>
              </w:rPr>
              <w:t>参考价(元)</w:t>
            </w:r>
          </w:p>
        </w:tc>
        <w:tc>
          <w:tcPr>
            <w:tcW w:w="1723" w:type="dxa"/>
            <w:noWrap w:val="0"/>
            <w:vAlign w:val="center"/>
          </w:tcPr>
          <w:p w14:paraId="2C20909E">
            <w:pPr>
              <w:pStyle w:val="9"/>
              <w:keepNext w:val="0"/>
              <w:keepLines w:val="0"/>
              <w:pageBreakBefore w:val="0"/>
              <w:wordWrap/>
              <w:overflowPunct/>
              <w:topLinePunct w:val="0"/>
              <w:bidi w:val="0"/>
              <w:spacing w:before="69" w:line="560" w:lineRule="exact"/>
              <w:ind w:left="0"/>
              <w:jc w:val="center"/>
              <w:rPr>
                <w:rFonts w:hint="eastAsia" w:ascii="Times New Roman" w:hAnsi="Times New Roman" w:eastAsia="黑体" w:cs="黑体"/>
                <w:b w:val="0"/>
                <w:bCs w:val="0"/>
                <w:color w:val="000000"/>
                <w:sz w:val="32"/>
                <w:szCs w:val="32"/>
                <w:highlight w:val="none"/>
              </w:rPr>
            </w:pPr>
            <w:r>
              <w:rPr>
                <w:rFonts w:hint="eastAsia" w:ascii="Times New Roman" w:hAnsi="Times New Roman" w:eastAsia="黑体" w:cs="黑体"/>
                <w:b w:val="0"/>
                <w:bCs w:val="0"/>
                <w:color w:val="000000"/>
                <w:spacing w:val="-6"/>
                <w:sz w:val="32"/>
                <w:szCs w:val="32"/>
                <w:highlight w:val="none"/>
              </w:rPr>
              <w:t>备注</w:t>
            </w:r>
          </w:p>
        </w:tc>
      </w:tr>
      <w:tr w14:paraId="63169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63" w:type="dxa"/>
            <w:vMerge w:val="restart"/>
            <w:tcBorders>
              <w:bottom w:val="nil"/>
            </w:tcBorders>
            <w:noWrap w:val="0"/>
            <w:vAlign w:val="center"/>
          </w:tcPr>
          <w:p w14:paraId="29EB5D16">
            <w:pPr>
              <w:pStyle w:val="9"/>
              <w:keepNext w:val="0"/>
              <w:keepLines w:val="0"/>
              <w:pageBreakBefore w:val="0"/>
              <w:wordWrap/>
              <w:overflowPunct/>
              <w:topLinePunct w:val="0"/>
              <w:bidi w:val="0"/>
              <w:spacing w:before="69" w:line="560" w:lineRule="exact"/>
              <w:jc w:val="center"/>
              <w:rPr>
                <w:rFonts w:hint="eastAsia" w:ascii="Times New Roman" w:hAnsi="Times New Roman" w:eastAsia="仿宋_GB2312" w:cs="仿宋_GB2312"/>
                <w:snapToGrid w:val="0"/>
                <w:color w:val="000000"/>
                <w:spacing w:val="2"/>
                <w:kern w:val="0"/>
                <w:sz w:val="28"/>
                <w:szCs w:val="28"/>
                <w:highlight w:val="none"/>
                <w:lang w:val="en-US" w:eastAsia="en-US" w:bidi="ar-SA"/>
              </w:rPr>
            </w:pPr>
            <w:r>
              <w:rPr>
                <w:rFonts w:hint="eastAsia" w:ascii="Times New Roman" w:hAnsi="Times New Roman" w:eastAsia="仿宋_GB2312" w:cs="仿宋_GB2312"/>
                <w:snapToGrid w:val="0"/>
                <w:color w:val="000000"/>
                <w:spacing w:val="2"/>
                <w:kern w:val="0"/>
                <w:sz w:val="28"/>
                <w:szCs w:val="28"/>
                <w:highlight w:val="none"/>
                <w:lang w:val="en-US" w:eastAsia="en-US" w:bidi="ar-SA"/>
              </w:rPr>
              <w:t>榆</w:t>
            </w:r>
            <w:r>
              <w:rPr>
                <w:rFonts w:hint="eastAsia" w:ascii="Times New Roman" w:hAnsi="Times New Roman" w:eastAsia="仿宋_GB2312" w:cs="仿宋_GB2312"/>
                <w:snapToGrid w:val="0"/>
                <w:color w:val="000000"/>
                <w:spacing w:val="2"/>
                <w:kern w:val="0"/>
                <w:sz w:val="28"/>
                <w:szCs w:val="28"/>
                <w:highlight w:val="none"/>
                <w:lang w:val="en-US" w:eastAsia="zh-CN" w:bidi="ar-SA"/>
              </w:rPr>
              <w:t xml:space="preserve">  </w:t>
            </w:r>
            <w:r>
              <w:rPr>
                <w:rFonts w:hint="eastAsia" w:ascii="Times New Roman" w:hAnsi="Times New Roman" w:eastAsia="仿宋_GB2312" w:cs="仿宋_GB2312"/>
                <w:snapToGrid w:val="0"/>
                <w:color w:val="000000"/>
                <w:spacing w:val="2"/>
                <w:kern w:val="0"/>
                <w:sz w:val="28"/>
                <w:szCs w:val="28"/>
                <w:highlight w:val="none"/>
                <w:lang w:val="en-US" w:eastAsia="en-US" w:bidi="ar-SA"/>
              </w:rPr>
              <w:t>树</w:t>
            </w:r>
          </w:p>
          <w:p w14:paraId="1568F144">
            <w:pPr>
              <w:pStyle w:val="9"/>
              <w:keepNext w:val="0"/>
              <w:keepLines w:val="0"/>
              <w:pageBreakBefore w:val="0"/>
              <w:wordWrap/>
              <w:overflowPunct/>
              <w:topLinePunct w:val="0"/>
              <w:bidi w:val="0"/>
              <w:spacing w:before="69"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snapToGrid w:val="0"/>
                <w:color w:val="000000"/>
                <w:spacing w:val="2"/>
                <w:kern w:val="0"/>
                <w:sz w:val="28"/>
                <w:szCs w:val="28"/>
                <w:highlight w:val="none"/>
                <w:lang w:val="en-US" w:eastAsia="en-US" w:bidi="ar-SA"/>
              </w:rPr>
              <w:t>沙枣树</w:t>
            </w:r>
          </w:p>
        </w:tc>
        <w:tc>
          <w:tcPr>
            <w:tcW w:w="2193" w:type="dxa"/>
            <w:noWrap w:val="0"/>
            <w:vAlign w:val="center"/>
          </w:tcPr>
          <w:p w14:paraId="654E6007">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1.9以下</w:t>
            </w:r>
          </w:p>
        </w:tc>
        <w:tc>
          <w:tcPr>
            <w:tcW w:w="1245" w:type="dxa"/>
            <w:noWrap w:val="0"/>
            <w:vAlign w:val="center"/>
          </w:tcPr>
          <w:p w14:paraId="441F8F25">
            <w:pPr>
              <w:pStyle w:val="9"/>
              <w:keepNext w:val="0"/>
              <w:keepLines w:val="0"/>
              <w:pageBreakBefore w:val="0"/>
              <w:wordWrap/>
              <w:overflowPunct/>
              <w:topLinePunct w:val="0"/>
              <w:bidi w:val="0"/>
              <w:spacing w:before="133" w:line="560" w:lineRule="exact"/>
              <w:ind w:left="214"/>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5" w:type="dxa"/>
            <w:noWrap w:val="0"/>
            <w:vAlign w:val="center"/>
          </w:tcPr>
          <w:p w14:paraId="42A492F2">
            <w:pPr>
              <w:pStyle w:val="9"/>
              <w:keepNext w:val="0"/>
              <w:keepLines w:val="0"/>
              <w:pageBreakBefore w:val="0"/>
              <w:wordWrap/>
              <w:overflowPunct/>
              <w:topLinePunct w:val="0"/>
              <w:bidi w:val="0"/>
              <w:spacing w:before="202" w:line="560" w:lineRule="exact"/>
              <w:ind w:left="0"/>
              <w:jc w:val="center"/>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z w:val="28"/>
                <w:szCs w:val="28"/>
                <w:highlight w:val="none"/>
                <w:lang w:val="en-US" w:eastAsia="zh-CN"/>
              </w:rPr>
              <w:t>4</w:t>
            </w:r>
          </w:p>
        </w:tc>
        <w:tc>
          <w:tcPr>
            <w:tcW w:w="1723" w:type="dxa"/>
            <w:noWrap w:val="0"/>
            <w:vAlign w:val="center"/>
          </w:tcPr>
          <w:p w14:paraId="1CE74E03">
            <w:pPr>
              <w:keepNext w:val="0"/>
              <w:keepLines w:val="0"/>
              <w:pageBreakBefore w:val="0"/>
              <w:wordWrap/>
              <w:overflowPunct/>
              <w:topLinePunct w:val="0"/>
              <w:bidi w:val="0"/>
              <w:spacing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455F5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863" w:type="dxa"/>
            <w:vMerge w:val="continue"/>
            <w:tcBorders>
              <w:top w:val="nil"/>
              <w:bottom w:val="nil"/>
            </w:tcBorders>
            <w:noWrap w:val="0"/>
            <w:vAlign w:val="top"/>
          </w:tcPr>
          <w:p w14:paraId="0AE000A5">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3" w:type="dxa"/>
            <w:noWrap w:val="0"/>
            <w:vAlign w:val="center"/>
          </w:tcPr>
          <w:p w14:paraId="25062A22">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2—4.9</w:t>
            </w:r>
          </w:p>
        </w:tc>
        <w:tc>
          <w:tcPr>
            <w:tcW w:w="1245" w:type="dxa"/>
            <w:noWrap w:val="0"/>
            <w:vAlign w:val="center"/>
          </w:tcPr>
          <w:p w14:paraId="1C0F4DD5">
            <w:pPr>
              <w:pStyle w:val="9"/>
              <w:keepNext w:val="0"/>
              <w:keepLines w:val="0"/>
              <w:pageBreakBefore w:val="0"/>
              <w:wordWrap/>
              <w:overflowPunct/>
              <w:topLinePunct w:val="0"/>
              <w:bidi w:val="0"/>
              <w:spacing w:before="135" w:line="560" w:lineRule="exact"/>
              <w:ind w:left="214"/>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5" w:type="dxa"/>
            <w:noWrap w:val="0"/>
            <w:vAlign w:val="center"/>
          </w:tcPr>
          <w:p w14:paraId="04F9C2F6">
            <w:pPr>
              <w:pStyle w:val="9"/>
              <w:keepNext w:val="0"/>
              <w:keepLines w:val="0"/>
              <w:pageBreakBefore w:val="0"/>
              <w:wordWrap/>
              <w:overflowPunct/>
              <w:topLinePunct w:val="0"/>
              <w:bidi w:val="0"/>
              <w:spacing w:before="203" w:line="560" w:lineRule="exact"/>
              <w:ind w:left="0"/>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12</w:t>
            </w:r>
          </w:p>
        </w:tc>
        <w:tc>
          <w:tcPr>
            <w:tcW w:w="1723" w:type="dxa"/>
            <w:noWrap w:val="0"/>
            <w:vAlign w:val="center"/>
          </w:tcPr>
          <w:p w14:paraId="107B3849">
            <w:pPr>
              <w:keepNext w:val="0"/>
              <w:keepLines w:val="0"/>
              <w:pageBreakBefore w:val="0"/>
              <w:wordWrap/>
              <w:overflowPunct/>
              <w:topLinePunct w:val="0"/>
              <w:bidi w:val="0"/>
              <w:spacing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6EFFE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863" w:type="dxa"/>
            <w:vMerge w:val="continue"/>
            <w:tcBorders>
              <w:top w:val="nil"/>
              <w:bottom w:val="nil"/>
            </w:tcBorders>
            <w:noWrap w:val="0"/>
            <w:vAlign w:val="top"/>
          </w:tcPr>
          <w:p w14:paraId="63C90705">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3" w:type="dxa"/>
            <w:noWrap w:val="0"/>
            <w:vAlign w:val="center"/>
          </w:tcPr>
          <w:p w14:paraId="0716168E">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5—7.9</w:t>
            </w:r>
          </w:p>
        </w:tc>
        <w:tc>
          <w:tcPr>
            <w:tcW w:w="1245" w:type="dxa"/>
            <w:noWrap w:val="0"/>
            <w:vAlign w:val="center"/>
          </w:tcPr>
          <w:p w14:paraId="03A0C7B6">
            <w:pPr>
              <w:pStyle w:val="9"/>
              <w:keepNext w:val="0"/>
              <w:keepLines w:val="0"/>
              <w:pageBreakBefore w:val="0"/>
              <w:wordWrap/>
              <w:overflowPunct/>
              <w:topLinePunct w:val="0"/>
              <w:bidi w:val="0"/>
              <w:spacing w:before="136" w:line="560" w:lineRule="exact"/>
              <w:ind w:left="214"/>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5" w:type="dxa"/>
            <w:noWrap w:val="0"/>
            <w:vAlign w:val="center"/>
          </w:tcPr>
          <w:p w14:paraId="116DF0DA">
            <w:pPr>
              <w:pStyle w:val="9"/>
              <w:keepNext w:val="0"/>
              <w:keepLines w:val="0"/>
              <w:pageBreakBefore w:val="0"/>
              <w:wordWrap/>
              <w:overflowPunct/>
              <w:topLinePunct w:val="0"/>
              <w:bidi w:val="0"/>
              <w:spacing w:before="204" w:line="560" w:lineRule="exact"/>
              <w:ind w:left="0"/>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16</w:t>
            </w:r>
          </w:p>
        </w:tc>
        <w:tc>
          <w:tcPr>
            <w:tcW w:w="1723" w:type="dxa"/>
            <w:noWrap w:val="0"/>
            <w:vAlign w:val="top"/>
          </w:tcPr>
          <w:p w14:paraId="534E2FA9">
            <w:pPr>
              <w:pStyle w:val="9"/>
              <w:keepNext w:val="0"/>
              <w:keepLines w:val="0"/>
              <w:pageBreakBefore w:val="0"/>
              <w:wordWrap/>
              <w:overflowPunct/>
              <w:topLinePunct w:val="0"/>
              <w:bidi w:val="0"/>
              <w:spacing w:before="135" w:line="560" w:lineRule="exact"/>
              <w:ind w:left="214" w:leftChars="0"/>
              <w:jc w:val="center"/>
              <w:rPr>
                <w:rFonts w:hint="eastAsia" w:ascii="Times New Roman" w:hAnsi="Times New Roman" w:eastAsia="仿宋_GB2312" w:cs="仿宋_GB2312"/>
                <w:snapToGrid w:val="0"/>
                <w:color w:val="000000"/>
                <w:spacing w:val="-3"/>
                <w:kern w:val="0"/>
                <w:sz w:val="28"/>
                <w:szCs w:val="28"/>
                <w:highlight w:val="none"/>
                <w:lang w:val="en-US" w:eastAsia="zh-CN" w:bidi="ar-SA"/>
              </w:rPr>
            </w:pPr>
            <w:r>
              <w:rPr>
                <w:rFonts w:hint="eastAsia" w:ascii="Times New Roman" w:hAnsi="Times New Roman" w:eastAsia="仿宋_GB2312" w:cs="仿宋_GB2312"/>
                <w:color w:val="000000"/>
                <w:spacing w:val="-3"/>
                <w:sz w:val="28"/>
                <w:szCs w:val="28"/>
                <w:highlight w:val="none"/>
              </w:rPr>
              <w:t>2.5米以上</w:t>
            </w:r>
          </w:p>
        </w:tc>
      </w:tr>
      <w:tr w14:paraId="4AB7E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863" w:type="dxa"/>
            <w:vMerge w:val="continue"/>
            <w:tcBorders>
              <w:top w:val="nil"/>
              <w:bottom w:val="nil"/>
            </w:tcBorders>
            <w:noWrap w:val="0"/>
            <w:vAlign w:val="top"/>
          </w:tcPr>
          <w:p w14:paraId="18C2D906">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193" w:type="dxa"/>
            <w:noWrap w:val="0"/>
            <w:vAlign w:val="center"/>
          </w:tcPr>
          <w:p w14:paraId="18C20CDE">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8.5以上</w:t>
            </w:r>
          </w:p>
        </w:tc>
        <w:tc>
          <w:tcPr>
            <w:tcW w:w="1245" w:type="dxa"/>
            <w:noWrap w:val="0"/>
            <w:vAlign w:val="center"/>
          </w:tcPr>
          <w:p w14:paraId="147F63C2">
            <w:pPr>
              <w:pStyle w:val="9"/>
              <w:keepNext w:val="0"/>
              <w:keepLines w:val="0"/>
              <w:pageBreakBefore w:val="0"/>
              <w:wordWrap/>
              <w:overflowPunct/>
              <w:topLinePunct w:val="0"/>
              <w:bidi w:val="0"/>
              <w:spacing w:before="138" w:line="560" w:lineRule="exact"/>
              <w:ind w:left="214"/>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5" w:type="dxa"/>
            <w:noWrap w:val="0"/>
            <w:vAlign w:val="center"/>
          </w:tcPr>
          <w:p w14:paraId="3F4AB978">
            <w:pPr>
              <w:pStyle w:val="9"/>
              <w:keepNext w:val="0"/>
              <w:keepLines w:val="0"/>
              <w:pageBreakBefore w:val="0"/>
              <w:wordWrap/>
              <w:overflowPunct/>
              <w:topLinePunct w:val="0"/>
              <w:bidi w:val="0"/>
              <w:spacing w:before="207" w:line="560" w:lineRule="exact"/>
              <w:ind w:left="0"/>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4"/>
                <w:sz w:val="28"/>
                <w:szCs w:val="28"/>
                <w:highlight w:val="none"/>
                <w:lang w:val="en-US" w:eastAsia="zh-CN"/>
              </w:rPr>
              <w:t>30</w:t>
            </w:r>
          </w:p>
        </w:tc>
        <w:tc>
          <w:tcPr>
            <w:tcW w:w="1723" w:type="dxa"/>
            <w:noWrap w:val="0"/>
            <w:vAlign w:val="top"/>
          </w:tcPr>
          <w:p w14:paraId="39545122">
            <w:pPr>
              <w:pStyle w:val="9"/>
              <w:keepNext w:val="0"/>
              <w:keepLines w:val="0"/>
              <w:pageBreakBefore w:val="0"/>
              <w:wordWrap/>
              <w:overflowPunct/>
              <w:topLinePunct w:val="0"/>
              <w:bidi w:val="0"/>
              <w:spacing w:before="135" w:line="560" w:lineRule="exact"/>
              <w:ind w:left="214" w:leftChars="0"/>
              <w:jc w:val="center"/>
              <w:rPr>
                <w:rFonts w:hint="eastAsia" w:ascii="Times New Roman" w:hAnsi="Times New Roman" w:eastAsia="仿宋_GB2312" w:cs="仿宋_GB2312"/>
                <w:snapToGrid w:val="0"/>
                <w:color w:val="000000"/>
                <w:spacing w:val="-3"/>
                <w:kern w:val="0"/>
                <w:sz w:val="28"/>
                <w:szCs w:val="28"/>
                <w:highlight w:val="none"/>
                <w:lang w:val="en-US" w:eastAsia="zh-CN" w:bidi="ar-SA"/>
              </w:rPr>
            </w:pPr>
            <w:r>
              <w:rPr>
                <w:rFonts w:hint="eastAsia" w:ascii="Times New Roman" w:hAnsi="Times New Roman" w:eastAsia="仿宋_GB2312" w:cs="仿宋_GB2312"/>
                <w:color w:val="000000"/>
                <w:spacing w:val="-3"/>
                <w:sz w:val="28"/>
                <w:szCs w:val="28"/>
                <w:highlight w:val="none"/>
              </w:rPr>
              <w:t>3米以上</w:t>
            </w:r>
          </w:p>
        </w:tc>
      </w:tr>
      <w:tr w14:paraId="3C9B1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1863" w:type="dxa"/>
            <w:vMerge w:val="continue"/>
            <w:tcBorders>
              <w:top w:val="nil"/>
            </w:tcBorders>
            <w:noWrap w:val="0"/>
            <w:vAlign w:val="top"/>
          </w:tcPr>
          <w:p w14:paraId="3610DE1E">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6936" w:type="dxa"/>
            <w:gridSpan w:val="4"/>
            <w:noWrap w:val="0"/>
            <w:vAlign w:val="center"/>
          </w:tcPr>
          <w:p w14:paraId="1A584D9E">
            <w:pPr>
              <w:pStyle w:val="9"/>
              <w:keepNext w:val="0"/>
              <w:keepLines w:val="0"/>
              <w:pageBreakBefore w:val="0"/>
              <w:wordWrap/>
              <w:overflowPunct/>
              <w:topLinePunct w:val="0"/>
              <w:bidi w:val="0"/>
              <w:spacing w:before="249" w:line="560" w:lineRule="exact"/>
              <w:ind w:left="121"/>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b/>
                <w:bCs/>
                <w:color w:val="000000"/>
                <w:spacing w:val="-1"/>
                <w:sz w:val="28"/>
                <w:szCs w:val="28"/>
                <w:highlight w:val="none"/>
              </w:rPr>
              <w:t>说明：</w:t>
            </w:r>
            <w:r>
              <w:rPr>
                <w:rFonts w:hint="eastAsia" w:ascii="Times New Roman" w:hAnsi="Times New Roman" w:eastAsia="仿宋_GB2312" w:cs="仿宋_GB2312"/>
                <w:color w:val="000000"/>
                <w:spacing w:val="-1"/>
                <w:sz w:val="28"/>
                <w:szCs w:val="28"/>
                <w:highlight w:val="none"/>
              </w:rPr>
              <w:t>最大亩载量不超过</w:t>
            </w:r>
            <w:r>
              <w:rPr>
                <w:rFonts w:hint="eastAsia" w:ascii="Times New Roman" w:hAnsi="Times New Roman" w:eastAsia="仿宋_GB2312" w:cs="仿宋_GB2312"/>
                <w:color w:val="000000"/>
                <w:spacing w:val="-1"/>
                <w:sz w:val="28"/>
                <w:szCs w:val="28"/>
                <w:highlight w:val="none"/>
                <w:lang w:val="en-US" w:eastAsia="zh-CN"/>
              </w:rPr>
              <w:t>7</w:t>
            </w:r>
            <w:r>
              <w:rPr>
                <w:rFonts w:hint="eastAsia" w:ascii="Times New Roman" w:hAnsi="Times New Roman" w:eastAsia="仿宋_GB2312" w:cs="仿宋_GB2312"/>
                <w:color w:val="000000"/>
                <w:spacing w:val="-1"/>
                <w:sz w:val="28"/>
                <w:szCs w:val="28"/>
                <w:highlight w:val="none"/>
              </w:rPr>
              <w:t>00株。</w:t>
            </w:r>
          </w:p>
        </w:tc>
      </w:tr>
    </w:tbl>
    <w:p w14:paraId="79A333BF">
      <w:pPr>
        <w:keepNext w:val="0"/>
        <w:keepLines w:val="0"/>
        <w:pageBreakBefore w:val="0"/>
        <w:wordWrap/>
        <w:overflowPunct/>
        <w:topLinePunct w:val="0"/>
        <w:bidi w:val="0"/>
        <w:spacing w:before="101" w:line="560" w:lineRule="exact"/>
        <w:ind w:firstLine="616" w:firstLineChars="200"/>
        <w:outlineLvl w:val="6"/>
        <w:rPr>
          <w:rFonts w:hint="eastAsia" w:ascii="Times New Roman" w:hAnsi="Times New Roman" w:eastAsia="黑体" w:cs="黑体"/>
          <w:b w:val="0"/>
          <w:bCs w:val="0"/>
          <w:color w:val="000000"/>
          <w:spacing w:val="-6"/>
          <w:sz w:val="32"/>
          <w:szCs w:val="32"/>
          <w:highlight w:val="none"/>
        </w:rPr>
      </w:pPr>
      <w:r>
        <w:rPr>
          <w:rFonts w:hint="eastAsia" w:ascii="Times New Roman" w:hAnsi="Times New Roman" w:eastAsia="黑体" w:cs="黑体"/>
          <w:b w:val="0"/>
          <w:bCs w:val="0"/>
          <w:color w:val="000000"/>
          <w:spacing w:val="-6"/>
          <w:sz w:val="32"/>
          <w:szCs w:val="32"/>
          <w:highlight w:val="none"/>
          <w:lang w:val="en-US" w:eastAsia="zh-CN"/>
        </w:rPr>
        <w:t>八、</w:t>
      </w:r>
      <w:r>
        <w:rPr>
          <w:rFonts w:hint="eastAsia" w:ascii="Times New Roman" w:hAnsi="Times New Roman" w:eastAsia="黑体" w:cs="黑体"/>
          <w:b w:val="0"/>
          <w:bCs w:val="0"/>
          <w:color w:val="000000"/>
          <w:spacing w:val="-6"/>
          <w:sz w:val="32"/>
          <w:szCs w:val="32"/>
          <w:highlight w:val="none"/>
        </w:rPr>
        <w:t>侧柏</w:t>
      </w:r>
    </w:p>
    <w:tbl>
      <w:tblPr>
        <w:tblStyle w:val="10"/>
        <w:tblW w:w="8820" w:type="dxa"/>
        <w:tblInd w:w="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3"/>
        <w:gridCol w:w="2223"/>
        <w:gridCol w:w="1215"/>
        <w:gridCol w:w="1770"/>
        <w:gridCol w:w="1759"/>
      </w:tblGrid>
      <w:tr w14:paraId="114CF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1853" w:type="dxa"/>
            <w:noWrap w:val="0"/>
            <w:vAlign w:val="top"/>
          </w:tcPr>
          <w:p w14:paraId="5FF33A2C">
            <w:pPr>
              <w:pStyle w:val="9"/>
              <w:keepNext w:val="0"/>
              <w:keepLines w:val="0"/>
              <w:pageBreakBefore w:val="0"/>
              <w:wordWrap/>
              <w:overflowPunct/>
              <w:topLinePunct w:val="0"/>
              <w:bidi w:val="0"/>
              <w:spacing w:before="273" w:line="560" w:lineRule="exact"/>
              <w:ind w:left="658" w:leftChars="0"/>
              <w:rPr>
                <w:rFonts w:hint="eastAsia" w:ascii="Times New Roman" w:hAnsi="Times New Roman" w:eastAsia="黑体" w:cs="黑体"/>
                <w:b w:val="0"/>
                <w:bCs w:val="0"/>
                <w:snapToGrid w:val="0"/>
                <w:color w:val="000000"/>
                <w:kern w:val="0"/>
                <w:sz w:val="32"/>
                <w:szCs w:val="32"/>
                <w:highlight w:val="none"/>
                <w:lang w:val="en-US" w:eastAsia="en-US" w:bidi="ar-SA"/>
              </w:rPr>
            </w:pPr>
            <w:r>
              <w:rPr>
                <w:rFonts w:hint="eastAsia" w:ascii="Times New Roman" w:hAnsi="Times New Roman" w:eastAsia="黑体" w:cs="黑体"/>
                <w:b w:val="0"/>
                <w:bCs w:val="0"/>
                <w:color w:val="000000"/>
                <w:spacing w:val="3"/>
                <w:sz w:val="32"/>
                <w:szCs w:val="32"/>
                <w:highlight w:val="none"/>
              </w:rPr>
              <w:t>品种</w:t>
            </w:r>
          </w:p>
        </w:tc>
        <w:tc>
          <w:tcPr>
            <w:tcW w:w="2223" w:type="dxa"/>
            <w:noWrap w:val="0"/>
            <w:vAlign w:val="center"/>
          </w:tcPr>
          <w:p w14:paraId="7CE57A9F">
            <w:pPr>
              <w:pStyle w:val="9"/>
              <w:keepNext w:val="0"/>
              <w:keepLines w:val="0"/>
              <w:pageBreakBefore w:val="0"/>
              <w:wordWrap/>
              <w:overflowPunct/>
              <w:topLinePunct w:val="0"/>
              <w:bidi w:val="0"/>
              <w:spacing w:before="70" w:line="560" w:lineRule="exact"/>
              <w:ind w:left="317" w:leftChars="0" w:right="219" w:rightChars="0" w:hanging="100" w:firstLineChars="0"/>
              <w:jc w:val="center"/>
              <w:rPr>
                <w:rFonts w:hint="eastAsia" w:ascii="Times New Roman" w:hAnsi="Times New Roman" w:eastAsia="黑体" w:cs="黑体"/>
                <w:b w:val="0"/>
                <w:bCs w:val="0"/>
                <w:snapToGrid w:val="0"/>
                <w:color w:val="000000"/>
                <w:kern w:val="0"/>
                <w:sz w:val="32"/>
                <w:szCs w:val="32"/>
                <w:highlight w:val="none"/>
                <w:lang w:val="en-US" w:eastAsia="en-US" w:bidi="ar-SA"/>
              </w:rPr>
            </w:pPr>
            <w:r>
              <w:rPr>
                <w:rFonts w:hint="eastAsia" w:ascii="Times New Roman" w:hAnsi="Times New Roman" w:eastAsia="黑体" w:cs="黑体"/>
                <w:b w:val="0"/>
                <w:bCs w:val="0"/>
                <w:color w:val="000000"/>
                <w:spacing w:val="-8"/>
                <w:sz w:val="32"/>
                <w:szCs w:val="32"/>
                <w:highlight w:val="none"/>
              </w:rPr>
              <w:t>胸径</w:t>
            </w:r>
            <w:r>
              <w:rPr>
                <w:rFonts w:hint="eastAsia" w:ascii="Times New Roman" w:hAnsi="Times New Roman" w:eastAsia="黑体" w:cs="黑体"/>
                <w:b w:val="0"/>
                <w:bCs w:val="0"/>
                <w:color w:val="000000"/>
                <w:sz w:val="32"/>
                <w:szCs w:val="32"/>
                <w:highlight w:val="none"/>
              </w:rPr>
              <w:t xml:space="preserve"> </w:t>
            </w:r>
            <w:r>
              <w:rPr>
                <w:rFonts w:hint="eastAsia" w:ascii="Times New Roman" w:hAnsi="Times New Roman" w:eastAsia="黑体" w:cs="黑体"/>
                <w:b w:val="0"/>
                <w:bCs w:val="0"/>
                <w:color w:val="000000"/>
                <w:spacing w:val="-14"/>
                <w:sz w:val="32"/>
                <w:szCs w:val="32"/>
                <w:highlight w:val="none"/>
              </w:rPr>
              <w:t>(cm)</w:t>
            </w:r>
          </w:p>
        </w:tc>
        <w:tc>
          <w:tcPr>
            <w:tcW w:w="1215" w:type="dxa"/>
            <w:noWrap w:val="0"/>
            <w:vAlign w:val="top"/>
          </w:tcPr>
          <w:p w14:paraId="72300BC4">
            <w:pPr>
              <w:pStyle w:val="9"/>
              <w:keepNext w:val="0"/>
              <w:keepLines w:val="0"/>
              <w:pageBreakBefore w:val="0"/>
              <w:wordWrap/>
              <w:overflowPunct/>
              <w:topLinePunct w:val="0"/>
              <w:bidi w:val="0"/>
              <w:spacing w:before="273" w:line="560" w:lineRule="exact"/>
              <w:ind w:left="288" w:leftChars="0"/>
              <w:rPr>
                <w:rFonts w:hint="eastAsia" w:ascii="Times New Roman" w:hAnsi="Times New Roman" w:eastAsia="黑体" w:cs="黑体"/>
                <w:b w:val="0"/>
                <w:bCs w:val="0"/>
                <w:snapToGrid w:val="0"/>
                <w:color w:val="000000"/>
                <w:kern w:val="0"/>
                <w:sz w:val="32"/>
                <w:szCs w:val="32"/>
                <w:highlight w:val="none"/>
                <w:lang w:val="en-US" w:eastAsia="en-US" w:bidi="ar-SA"/>
              </w:rPr>
            </w:pPr>
            <w:r>
              <w:rPr>
                <w:rFonts w:hint="eastAsia" w:ascii="Times New Roman" w:hAnsi="Times New Roman" w:eastAsia="黑体" w:cs="黑体"/>
                <w:b w:val="0"/>
                <w:bCs w:val="0"/>
                <w:color w:val="000000"/>
                <w:spacing w:val="-7"/>
                <w:sz w:val="32"/>
                <w:szCs w:val="32"/>
                <w:highlight w:val="none"/>
              </w:rPr>
              <w:t>单位</w:t>
            </w:r>
          </w:p>
        </w:tc>
        <w:tc>
          <w:tcPr>
            <w:tcW w:w="1770" w:type="dxa"/>
            <w:noWrap w:val="0"/>
            <w:vAlign w:val="top"/>
          </w:tcPr>
          <w:p w14:paraId="378C6AE8">
            <w:pPr>
              <w:pStyle w:val="9"/>
              <w:keepNext w:val="0"/>
              <w:keepLines w:val="0"/>
              <w:pageBreakBefore w:val="0"/>
              <w:wordWrap/>
              <w:overflowPunct/>
              <w:topLinePunct w:val="0"/>
              <w:bidi w:val="0"/>
              <w:spacing w:before="69" w:line="560" w:lineRule="exact"/>
              <w:ind w:left="230"/>
              <w:jc w:val="center"/>
              <w:rPr>
                <w:rFonts w:hint="eastAsia" w:ascii="Times New Roman" w:hAnsi="Times New Roman" w:eastAsia="黑体" w:cs="黑体"/>
                <w:b w:val="0"/>
                <w:bCs w:val="0"/>
                <w:snapToGrid w:val="0"/>
                <w:color w:val="000000"/>
                <w:kern w:val="0"/>
                <w:sz w:val="32"/>
                <w:szCs w:val="32"/>
                <w:highlight w:val="none"/>
                <w:lang w:val="en-US" w:eastAsia="en-US" w:bidi="ar-SA"/>
              </w:rPr>
            </w:pPr>
            <w:r>
              <w:rPr>
                <w:rFonts w:hint="eastAsia" w:ascii="Times New Roman" w:hAnsi="Times New Roman" w:eastAsia="黑体" w:cs="黑体"/>
                <w:b w:val="0"/>
                <w:bCs w:val="0"/>
                <w:color w:val="000000"/>
                <w:spacing w:val="-6"/>
                <w:sz w:val="32"/>
                <w:szCs w:val="32"/>
                <w:highlight w:val="none"/>
              </w:rPr>
              <w:t>参考价</w:t>
            </w:r>
            <w:r>
              <w:rPr>
                <w:rFonts w:hint="eastAsia" w:ascii="Times New Roman" w:hAnsi="Times New Roman" w:eastAsia="黑体" w:cs="黑体"/>
                <w:b w:val="0"/>
                <w:bCs w:val="0"/>
                <w:color w:val="000000"/>
                <w:spacing w:val="14"/>
                <w:sz w:val="32"/>
                <w:szCs w:val="32"/>
                <w:highlight w:val="none"/>
              </w:rPr>
              <w:t>(元)</w:t>
            </w:r>
          </w:p>
        </w:tc>
        <w:tc>
          <w:tcPr>
            <w:tcW w:w="1759" w:type="dxa"/>
            <w:noWrap w:val="0"/>
            <w:vAlign w:val="top"/>
          </w:tcPr>
          <w:p w14:paraId="13DAD4EF">
            <w:pPr>
              <w:pStyle w:val="9"/>
              <w:keepNext w:val="0"/>
              <w:keepLines w:val="0"/>
              <w:pageBreakBefore w:val="0"/>
              <w:wordWrap/>
              <w:overflowPunct/>
              <w:topLinePunct w:val="0"/>
              <w:bidi w:val="0"/>
              <w:spacing w:before="273" w:line="560" w:lineRule="exact"/>
              <w:jc w:val="center"/>
              <w:rPr>
                <w:rFonts w:hint="eastAsia" w:ascii="Times New Roman" w:hAnsi="Times New Roman" w:eastAsia="黑体" w:cs="黑体"/>
                <w:b w:val="0"/>
                <w:bCs w:val="0"/>
                <w:snapToGrid w:val="0"/>
                <w:color w:val="000000"/>
                <w:kern w:val="0"/>
                <w:sz w:val="32"/>
                <w:szCs w:val="32"/>
                <w:highlight w:val="none"/>
                <w:lang w:val="en-US" w:eastAsia="en-US" w:bidi="ar-SA"/>
              </w:rPr>
            </w:pPr>
            <w:r>
              <w:rPr>
                <w:rFonts w:hint="eastAsia" w:ascii="Times New Roman" w:hAnsi="Times New Roman" w:eastAsia="黑体" w:cs="黑体"/>
                <w:b w:val="0"/>
                <w:bCs w:val="0"/>
                <w:color w:val="000000"/>
                <w:spacing w:val="-7"/>
                <w:sz w:val="32"/>
                <w:szCs w:val="32"/>
                <w:highlight w:val="none"/>
              </w:rPr>
              <w:t>备注</w:t>
            </w:r>
          </w:p>
        </w:tc>
      </w:tr>
      <w:tr w14:paraId="13343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853" w:type="dxa"/>
            <w:vMerge w:val="restart"/>
            <w:tcBorders>
              <w:bottom w:val="nil"/>
            </w:tcBorders>
            <w:noWrap w:val="0"/>
            <w:vAlign w:val="center"/>
          </w:tcPr>
          <w:p w14:paraId="2737A19A">
            <w:pPr>
              <w:pStyle w:val="9"/>
              <w:keepNext w:val="0"/>
              <w:keepLines w:val="0"/>
              <w:pageBreakBefore w:val="0"/>
              <w:wordWrap/>
              <w:overflowPunct/>
              <w:topLinePunct w:val="0"/>
              <w:bidi w:val="0"/>
              <w:spacing w:before="88"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11"/>
                <w:sz w:val="28"/>
                <w:szCs w:val="28"/>
                <w:highlight w:val="none"/>
              </w:rPr>
              <w:t>侧柏</w:t>
            </w:r>
          </w:p>
        </w:tc>
        <w:tc>
          <w:tcPr>
            <w:tcW w:w="2223" w:type="dxa"/>
            <w:noWrap w:val="0"/>
            <w:vAlign w:val="center"/>
          </w:tcPr>
          <w:p w14:paraId="16969C63">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0.5m以下</w:t>
            </w:r>
          </w:p>
        </w:tc>
        <w:tc>
          <w:tcPr>
            <w:tcW w:w="1215" w:type="dxa"/>
            <w:noWrap w:val="0"/>
            <w:vAlign w:val="center"/>
          </w:tcPr>
          <w:p w14:paraId="746750F5">
            <w:pPr>
              <w:pStyle w:val="9"/>
              <w:keepNext w:val="0"/>
              <w:keepLines w:val="0"/>
              <w:pageBreakBefore w:val="0"/>
              <w:wordWrap/>
              <w:overflowPunct/>
              <w:topLinePunct w:val="0"/>
              <w:bidi w:val="0"/>
              <w:spacing w:before="144"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tcBorders>
              <w:bottom w:val="single" w:color="auto" w:sz="4" w:space="0"/>
            </w:tcBorders>
            <w:noWrap w:val="0"/>
            <w:vAlign w:val="center"/>
          </w:tcPr>
          <w:p w14:paraId="73867577">
            <w:pPr>
              <w:pStyle w:val="9"/>
              <w:keepNext w:val="0"/>
              <w:keepLines w:val="0"/>
              <w:pageBreakBefore w:val="0"/>
              <w:wordWrap/>
              <w:overflowPunct/>
              <w:topLinePunct w:val="0"/>
              <w:bidi w:val="0"/>
              <w:spacing w:before="213" w:line="560" w:lineRule="exact"/>
              <w:jc w:val="center"/>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w:t>
            </w:r>
          </w:p>
        </w:tc>
        <w:tc>
          <w:tcPr>
            <w:tcW w:w="1759" w:type="dxa"/>
            <w:vMerge w:val="restart"/>
            <w:noWrap w:val="0"/>
            <w:vAlign w:val="center"/>
          </w:tcPr>
          <w:p w14:paraId="4EA2C525">
            <w:pPr>
              <w:pStyle w:val="9"/>
              <w:keepNext w:val="0"/>
              <w:keepLines w:val="0"/>
              <w:pageBreakBefore w:val="0"/>
              <w:wordWrap/>
              <w:overflowPunct/>
              <w:topLinePunct w:val="0"/>
              <w:bidi w:val="0"/>
              <w:spacing w:before="88" w:line="560" w:lineRule="exact"/>
              <w:ind w:right="202" w:rightChars="0"/>
              <w:jc w:val="center"/>
              <w:rPr>
                <w:rFonts w:hint="eastAsia" w:ascii="Times New Roman" w:hAnsi="Times New Roman" w:eastAsia="仿宋_GB2312" w:cs="仿宋_GB2312"/>
                <w:color w:val="000000"/>
                <w:spacing w:val="1"/>
                <w:sz w:val="28"/>
                <w:szCs w:val="28"/>
                <w:highlight w:val="none"/>
              </w:rPr>
            </w:pPr>
            <w:r>
              <w:rPr>
                <w:rFonts w:hint="eastAsia" w:ascii="Times New Roman" w:hAnsi="Times New Roman" w:eastAsia="仿宋_GB2312" w:cs="仿宋_GB2312"/>
                <w:color w:val="000000"/>
                <w:spacing w:val="5"/>
                <w:sz w:val="28"/>
                <w:szCs w:val="28"/>
                <w:highlight w:val="none"/>
              </w:rPr>
              <w:t>以高度和</w:t>
            </w:r>
          </w:p>
          <w:p w14:paraId="69952C01">
            <w:pPr>
              <w:pStyle w:val="9"/>
              <w:keepNext w:val="0"/>
              <w:keepLines w:val="0"/>
              <w:pageBreakBefore w:val="0"/>
              <w:wordWrap/>
              <w:overflowPunct/>
              <w:topLinePunct w:val="0"/>
              <w:bidi w:val="0"/>
              <w:spacing w:before="88" w:line="560" w:lineRule="exact"/>
              <w:ind w:right="202" w:rightChars="0"/>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冠幅定价</w:t>
            </w:r>
          </w:p>
        </w:tc>
      </w:tr>
      <w:tr w14:paraId="78A15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853" w:type="dxa"/>
            <w:vMerge w:val="continue"/>
            <w:tcBorders>
              <w:top w:val="nil"/>
              <w:bottom w:val="nil"/>
            </w:tcBorders>
            <w:noWrap w:val="0"/>
            <w:vAlign w:val="center"/>
          </w:tcPr>
          <w:p w14:paraId="36CDE48B">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c>
          <w:tcPr>
            <w:tcW w:w="2223" w:type="dxa"/>
            <w:noWrap w:val="0"/>
            <w:vAlign w:val="center"/>
          </w:tcPr>
          <w:p w14:paraId="6C655DC2">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0.51m—1m</w:t>
            </w:r>
          </w:p>
        </w:tc>
        <w:tc>
          <w:tcPr>
            <w:tcW w:w="1215" w:type="dxa"/>
            <w:noWrap w:val="0"/>
            <w:vAlign w:val="center"/>
          </w:tcPr>
          <w:p w14:paraId="5E7D372F">
            <w:pPr>
              <w:pStyle w:val="9"/>
              <w:keepNext w:val="0"/>
              <w:keepLines w:val="0"/>
              <w:pageBreakBefore w:val="0"/>
              <w:wordWrap/>
              <w:overflowPunct/>
              <w:topLinePunct w:val="0"/>
              <w:bidi w:val="0"/>
              <w:spacing w:before="146"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tcBorders>
              <w:top w:val="single" w:color="auto" w:sz="4" w:space="0"/>
              <w:bottom w:val="single" w:color="auto" w:sz="4" w:space="0"/>
            </w:tcBorders>
            <w:noWrap w:val="0"/>
            <w:vAlign w:val="center"/>
          </w:tcPr>
          <w:p w14:paraId="5969DE73">
            <w:pPr>
              <w:pStyle w:val="9"/>
              <w:keepNext w:val="0"/>
              <w:keepLines w:val="0"/>
              <w:pageBreakBefore w:val="0"/>
              <w:wordWrap/>
              <w:overflowPunct/>
              <w:topLinePunct w:val="0"/>
              <w:bidi w:val="0"/>
              <w:spacing w:before="215" w:line="560" w:lineRule="exact"/>
              <w:jc w:val="center"/>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4</w:t>
            </w:r>
          </w:p>
        </w:tc>
        <w:tc>
          <w:tcPr>
            <w:tcW w:w="1759" w:type="dxa"/>
            <w:vMerge w:val="continue"/>
            <w:noWrap w:val="0"/>
            <w:vAlign w:val="center"/>
          </w:tcPr>
          <w:p w14:paraId="2FABC05C">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r>
      <w:tr w14:paraId="69849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853" w:type="dxa"/>
            <w:vMerge w:val="continue"/>
            <w:tcBorders>
              <w:top w:val="nil"/>
              <w:bottom w:val="nil"/>
            </w:tcBorders>
            <w:noWrap w:val="0"/>
            <w:vAlign w:val="center"/>
          </w:tcPr>
          <w:p w14:paraId="1A05474B">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c>
          <w:tcPr>
            <w:tcW w:w="2223" w:type="dxa"/>
            <w:noWrap w:val="0"/>
            <w:vAlign w:val="center"/>
          </w:tcPr>
          <w:p w14:paraId="7D10CEEE">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1.01m—1.5m</w:t>
            </w:r>
          </w:p>
        </w:tc>
        <w:tc>
          <w:tcPr>
            <w:tcW w:w="1215" w:type="dxa"/>
            <w:noWrap w:val="0"/>
            <w:vAlign w:val="center"/>
          </w:tcPr>
          <w:p w14:paraId="6C411D89">
            <w:pPr>
              <w:pStyle w:val="9"/>
              <w:keepNext w:val="0"/>
              <w:keepLines w:val="0"/>
              <w:pageBreakBefore w:val="0"/>
              <w:wordWrap/>
              <w:overflowPunct/>
              <w:topLinePunct w:val="0"/>
              <w:bidi w:val="0"/>
              <w:spacing w:before="147"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tcBorders>
              <w:top w:val="single" w:color="auto" w:sz="4" w:space="0"/>
              <w:bottom w:val="single" w:color="auto" w:sz="4" w:space="0"/>
            </w:tcBorders>
            <w:noWrap w:val="0"/>
            <w:vAlign w:val="center"/>
          </w:tcPr>
          <w:p w14:paraId="274C9AEC">
            <w:pPr>
              <w:pStyle w:val="9"/>
              <w:keepNext w:val="0"/>
              <w:keepLines w:val="0"/>
              <w:pageBreakBefore w:val="0"/>
              <w:wordWrap/>
              <w:overflowPunct/>
              <w:topLinePunct w:val="0"/>
              <w:bidi w:val="0"/>
              <w:spacing w:before="218" w:line="560" w:lineRule="exact"/>
              <w:jc w:val="center"/>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7</w:t>
            </w:r>
          </w:p>
        </w:tc>
        <w:tc>
          <w:tcPr>
            <w:tcW w:w="1759" w:type="dxa"/>
            <w:vMerge w:val="continue"/>
            <w:noWrap w:val="0"/>
            <w:vAlign w:val="center"/>
          </w:tcPr>
          <w:p w14:paraId="13D625E4">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r>
      <w:tr w14:paraId="6714C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853" w:type="dxa"/>
            <w:vMerge w:val="continue"/>
            <w:tcBorders>
              <w:top w:val="nil"/>
              <w:bottom w:val="nil"/>
            </w:tcBorders>
            <w:noWrap w:val="0"/>
            <w:vAlign w:val="center"/>
          </w:tcPr>
          <w:p w14:paraId="4361E300">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c>
          <w:tcPr>
            <w:tcW w:w="2223" w:type="dxa"/>
            <w:noWrap w:val="0"/>
            <w:vAlign w:val="center"/>
          </w:tcPr>
          <w:p w14:paraId="5FE187D4">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1.51m以上</w:t>
            </w:r>
          </w:p>
        </w:tc>
        <w:tc>
          <w:tcPr>
            <w:tcW w:w="1215" w:type="dxa"/>
            <w:noWrap w:val="0"/>
            <w:vAlign w:val="center"/>
          </w:tcPr>
          <w:p w14:paraId="38911C9D">
            <w:pPr>
              <w:pStyle w:val="9"/>
              <w:keepNext w:val="0"/>
              <w:keepLines w:val="0"/>
              <w:pageBreakBefore w:val="0"/>
              <w:wordWrap/>
              <w:overflowPunct/>
              <w:topLinePunct w:val="0"/>
              <w:bidi w:val="0"/>
              <w:spacing w:before="148"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tcBorders>
              <w:top w:val="single" w:color="auto" w:sz="4" w:space="0"/>
              <w:right w:val="single" w:color="auto" w:sz="4" w:space="0"/>
            </w:tcBorders>
            <w:noWrap w:val="0"/>
            <w:vAlign w:val="center"/>
          </w:tcPr>
          <w:p w14:paraId="38F82B70">
            <w:pPr>
              <w:pStyle w:val="9"/>
              <w:keepNext w:val="0"/>
              <w:keepLines w:val="0"/>
              <w:pageBreakBefore w:val="0"/>
              <w:wordWrap/>
              <w:overflowPunct/>
              <w:topLinePunct w:val="0"/>
              <w:bidi w:val="0"/>
              <w:spacing w:before="216"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15</w:t>
            </w:r>
          </w:p>
        </w:tc>
        <w:tc>
          <w:tcPr>
            <w:tcW w:w="1759" w:type="dxa"/>
            <w:vMerge w:val="continue"/>
            <w:noWrap w:val="0"/>
            <w:vAlign w:val="center"/>
          </w:tcPr>
          <w:p w14:paraId="7E424E05">
            <w:pPr>
              <w:keepNext w:val="0"/>
              <w:keepLines w:val="0"/>
              <w:pageBreakBefore w:val="0"/>
              <w:wordWrap/>
              <w:overflowPunct/>
              <w:topLinePunct w:val="0"/>
              <w:bidi w:val="0"/>
              <w:spacing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03B4D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853" w:type="dxa"/>
            <w:vMerge w:val="continue"/>
            <w:tcBorders>
              <w:top w:val="nil"/>
            </w:tcBorders>
            <w:noWrap w:val="0"/>
            <w:vAlign w:val="center"/>
          </w:tcPr>
          <w:p w14:paraId="2B05FB3C">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c>
          <w:tcPr>
            <w:tcW w:w="6967" w:type="dxa"/>
            <w:gridSpan w:val="4"/>
            <w:noWrap w:val="0"/>
            <w:vAlign w:val="center"/>
          </w:tcPr>
          <w:p w14:paraId="7A06D28C">
            <w:pPr>
              <w:pStyle w:val="9"/>
              <w:keepNext w:val="0"/>
              <w:keepLines w:val="0"/>
              <w:pageBreakBefore w:val="0"/>
              <w:wordWrap/>
              <w:overflowPunct/>
              <w:topLinePunct w:val="0"/>
              <w:bidi w:val="0"/>
              <w:spacing w:before="240" w:line="560" w:lineRule="exact"/>
              <w:ind w:left="92"/>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b/>
                <w:bCs/>
                <w:color w:val="000000"/>
                <w:spacing w:val="-1"/>
                <w:sz w:val="28"/>
                <w:szCs w:val="28"/>
                <w:highlight w:val="none"/>
              </w:rPr>
              <w:t>说明：</w:t>
            </w:r>
            <w:r>
              <w:rPr>
                <w:rFonts w:hint="eastAsia" w:ascii="Times New Roman" w:hAnsi="Times New Roman" w:eastAsia="仿宋_GB2312" w:cs="仿宋_GB2312"/>
                <w:color w:val="000000"/>
                <w:spacing w:val="-1"/>
                <w:sz w:val="28"/>
                <w:szCs w:val="28"/>
                <w:highlight w:val="none"/>
              </w:rPr>
              <w:t>最大亩载量不超过</w:t>
            </w:r>
            <w:r>
              <w:rPr>
                <w:rFonts w:hint="eastAsia" w:ascii="Times New Roman" w:hAnsi="Times New Roman" w:eastAsia="仿宋_GB2312" w:cs="仿宋_GB2312"/>
                <w:color w:val="000000"/>
                <w:spacing w:val="-1"/>
                <w:sz w:val="28"/>
                <w:szCs w:val="28"/>
                <w:highlight w:val="none"/>
                <w:lang w:val="en-US" w:eastAsia="zh-CN"/>
              </w:rPr>
              <w:t>7</w:t>
            </w:r>
            <w:r>
              <w:rPr>
                <w:rFonts w:hint="eastAsia" w:ascii="Times New Roman" w:hAnsi="Times New Roman" w:eastAsia="仿宋_GB2312" w:cs="仿宋_GB2312"/>
                <w:color w:val="000000"/>
                <w:spacing w:val="-1"/>
                <w:sz w:val="28"/>
                <w:szCs w:val="28"/>
                <w:highlight w:val="none"/>
              </w:rPr>
              <w:t>00株。</w:t>
            </w:r>
          </w:p>
        </w:tc>
      </w:tr>
    </w:tbl>
    <w:p w14:paraId="705F0E0A">
      <w:pPr>
        <w:keepNext w:val="0"/>
        <w:keepLines w:val="0"/>
        <w:pageBreakBefore w:val="0"/>
        <w:wordWrap/>
        <w:overflowPunct/>
        <w:topLinePunct w:val="0"/>
        <w:bidi w:val="0"/>
        <w:spacing w:before="104" w:line="560" w:lineRule="exact"/>
        <w:ind w:firstLine="631" w:firstLineChars="200"/>
        <w:outlineLvl w:val="6"/>
        <w:rPr>
          <w:rFonts w:ascii="Times New Roman" w:hAnsi="Times New Roman"/>
          <w:color w:val="000000"/>
          <w:sz w:val="2"/>
          <w:highlight w:val="none"/>
        </w:rPr>
      </w:pPr>
      <w:r>
        <w:rPr>
          <w:rFonts w:hint="eastAsia" w:ascii="Times New Roman" w:hAnsi="Times New Roman" w:eastAsia="宋体" w:cs="宋体"/>
          <w:b/>
          <w:bCs/>
          <w:color w:val="000000"/>
          <w:spacing w:val="-3"/>
          <w:sz w:val="32"/>
          <w:szCs w:val="32"/>
          <w:highlight w:val="none"/>
          <w:lang w:val="en-US" w:eastAsia="zh-CN"/>
        </w:rPr>
        <w:t>九</w:t>
      </w:r>
      <w:r>
        <w:rPr>
          <w:rFonts w:ascii="Times New Roman" w:hAnsi="Times New Roman" w:eastAsia="宋体" w:cs="宋体"/>
          <w:b/>
          <w:bCs/>
          <w:color w:val="000000"/>
          <w:spacing w:val="-3"/>
          <w:sz w:val="32"/>
          <w:szCs w:val="32"/>
          <w:highlight w:val="none"/>
        </w:rPr>
        <w:t>、臭椿</w:t>
      </w:r>
    </w:p>
    <w:tbl>
      <w:tblPr>
        <w:tblStyle w:val="10"/>
        <w:tblW w:w="8800"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3"/>
        <w:gridCol w:w="2213"/>
        <w:gridCol w:w="1245"/>
        <w:gridCol w:w="1770"/>
        <w:gridCol w:w="1719"/>
      </w:tblGrid>
      <w:tr w14:paraId="18D3E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trPr>
        <w:tc>
          <w:tcPr>
            <w:tcW w:w="1853" w:type="dxa"/>
            <w:noWrap w:val="0"/>
            <w:vAlign w:val="top"/>
          </w:tcPr>
          <w:p w14:paraId="6CDFD0C2">
            <w:pPr>
              <w:pStyle w:val="9"/>
              <w:keepNext w:val="0"/>
              <w:keepLines w:val="0"/>
              <w:pageBreakBefore w:val="0"/>
              <w:wordWrap/>
              <w:overflowPunct/>
              <w:topLinePunct w:val="0"/>
              <w:bidi w:val="0"/>
              <w:spacing w:before="273" w:line="560" w:lineRule="exact"/>
              <w:ind w:left="658" w:leftChars="0"/>
              <w:rPr>
                <w:rFonts w:ascii="Times New Roman" w:hAnsi="Times New Roman"/>
                <w:color w:val="000000"/>
                <w:sz w:val="26"/>
                <w:szCs w:val="26"/>
                <w:highlight w:val="none"/>
              </w:rPr>
            </w:pPr>
            <w:r>
              <w:rPr>
                <w:rFonts w:hint="eastAsia" w:ascii="Times New Roman" w:hAnsi="Times New Roman" w:eastAsia="黑体" w:cs="黑体"/>
                <w:b w:val="0"/>
                <w:bCs w:val="0"/>
                <w:color w:val="000000"/>
                <w:spacing w:val="3"/>
                <w:sz w:val="32"/>
                <w:szCs w:val="32"/>
                <w:highlight w:val="none"/>
              </w:rPr>
              <w:t>品种</w:t>
            </w:r>
          </w:p>
        </w:tc>
        <w:tc>
          <w:tcPr>
            <w:tcW w:w="2213" w:type="dxa"/>
            <w:noWrap w:val="0"/>
            <w:vAlign w:val="center"/>
          </w:tcPr>
          <w:p w14:paraId="5F6C39B4">
            <w:pPr>
              <w:pStyle w:val="9"/>
              <w:keepNext w:val="0"/>
              <w:keepLines w:val="0"/>
              <w:pageBreakBefore w:val="0"/>
              <w:wordWrap/>
              <w:overflowPunct/>
              <w:topLinePunct w:val="0"/>
              <w:bidi w:val="0"/>
              <w:spacing w:before="70" w:line="560" w:lineRule="exact"/>
              <w:ind w:left="317" w:leftChars="0" w:right="219" w:rightChars="0" w:hanging="100" w:firstLineChars="0"/>
              <w:jc w:val="center"/>
              <w:rPr>
                <w:rFonts w:ascii="Times New Roman" w:hAnsi="Times New Roman"/>
                <w:color w:val="000000"/>
                <w:sz w:val="26"/>
                <w:szCs w:val="26"/>
                <w:highlight w:val="none"/>
              </w:rPr>
            </w:pPr>
            <w:r>
              <w:rPr>
                <w:rFonts w:hint="eastAsia" w:ascii="Times New Roman" w:hAnsi="Times New Roman" w:eastAsia="黑体" w:cs="黑体"/>
                <w:b w:val="0"/>
                <w:bCs w:val="0"/>
                <w:color w:val="000000"/>
                <w:spacing w:val="-8"/>
                <w:sz w:val="32"/>
                <w:szCs w:val="32"/>
                <w:highlight w:val="none"/>
              </w:rPr>
              <w:t>胸径</w:t>
            </w:r>
            <w:r>
              <w:rPr>
                <w:rFonts w:hint="eastAsia" w:ascii="Times New Roman" w:hAnsi="Times New Roman" w:eastAsia="黑体" w:cs="黑体"/>
                <w:b w:val="0"/>
                <w:bCs w:val="0"/>
                <w:color w:val="000000"/>
                <w:sz w:val="32"/>
                <w:szCs w:val="32"/>
                <w:highlight w:val="none"/>
              </w:rPr>
              <w:t xml:space="preserve"> </w:t>
            </w:r>
            <w:r>
              <w:rPr>
                <w:rFonts w:hint="eastAsia" w:ascii="Times New Roman" w:hAnsi="Times New Roman" w:eastAsia="黑体" w:cs="黑体"/>
                <w:b w:val="0"/>
                <w:bCs w:val="0"/>
                <w:color w:val="000000"/>
                <w:spacing w:val="-14"/>
                <w:sz w:val="32"/>
                <w:szCs w:val="32"/>
                <w:highlight w:val="none"/>
              </w:rPr>
              <w:t>(cm)</w:t>
            </w:r>
          </w:p>
        </w:tc>
        <w:tc>
          <w:tcPr>
            <w:tcW w:w="1245" w:type="dxa"/>
            <w:noWrap w:val="0"/>
            <w:vAlign w:val="top"/>
          </w:tcPr>
          <w:p w14:paraId="653726A4">
            <w:pPr>
              <w:pStyle w:val="9"/>
              <w:keepNext w:val="0"/>
              <w:keepLines w:val="0"/>
              <w:pageBreakBefore w:val="0"/>
              <w:wordWrap/>
              <w:overflowPunct/>
              <w:topLinePunct w:val="0"/>
              <w:bidi w:val="0"/>
              <w:spacing w:before="273" w:line="560" w:lineRule="exact"/>
              <w:ind w:left="288" w:leftChars="0"/>
              <w:rPr>
                <w:rFonts w:ascii="Times New Roman" w:hAnsi="Times New Roman"/>
                <w:color w:val="000000"/>
                <w:sz w:val="26"/>
                <w:szCs w:val="26"/>
                <w:highlight w:val="none"/>
              </w:rPr>
            </w:pPr>
            <w:r>
              <w:rPr>
                <w:rFonts w:hint="eastAsia" w:ascii="Times New Roman" w:hAnsi="Times New Roman" w:eastAsia="黑体" w:cs="黑体"/>
                <w:b w:val="0"/>
                <w:bCs w:val="0"/>
                <w:color w:val="000000"/>
                <w:spacing w:val="-7"/>
                <w:sz w:val="32"/>
                <w:szCs w:val="32"/>
                <w:highlight w:val="none"/>
              </w:rPr>
              <w:t>单位</w:t>
            </w:r>
          </w:p>
        </w:tc>
        <w:tc>
          <w:tcPr>
            <w:tcW w:w="1770" w:type="dxa"/>
            <w:noWrap w:val="0"/>
            <w:vAlign w:val="top"/>
          </w:tcPr>
          <w:p w14:paraId="5FADE830">
            <w:pPr>
              <w:pStyle w:val="9"/>
              <w:keepNext w:val="0"/>
              <w:keepLines w:val="0"/>
              <w:pageBreakBefore w:val="0"/>
              <w:wordWrap/>
              <w:overflowPunct/>
              <w:topLinePunct w:val="0"/>
              <w:bidi w:val="0"/>
              <w:spacing w:before="69" w:line="560" w:lineRule="exact"/>
              <w:ind w:left="230"/>
              <w:jc w:val="center"/>
              <w:rPr>
                <w:rFonts w:ascii="Times New Roman" w:hAnsi="Times New Roman"/>
                <w:color w:val="000000"/>
                <w:sz w:val="26"/>
                <w:szCs w:val="26"/>
                <w:highlight w:val="none"/>
              </w:rPr>
            </w:pPr>
            <w:r>
              <w:rPr>
                <w:rFonts w:hint="eastAsia" w:ascii="Times New Roman" w:hAnsi="Times New Roman" w:eastAsia="黑体" w:cs="黑体"/>
                <w:b w:val="0"/>
                <w:bCs w:val="0"/>
                <w:color w:val="000000"/>
                <w:spacing w:val="-6"/>
                <w:sz w:val="32"/>
                <w:szCs w:val="32"/>
                <w:highlight w:val="none"/>
              </w:rPr>
              <w:t>参考价</w:t>
            </w:r>
            <w:r>
              <w:rPr>
                <w:rFonts w:hint="eastAsia" w:ascii="Times New Roman" w:hAnsi="Times New Roman" w:eastAsia="黑体" w:cs="黑体"/>
                <w:b w:val="0"/>
                <w:bCs w:val="0"/>
                <w:color w:val="000000"/>
                <w:spacing w:val="14"/>
                <w:sz w:val="32"/>
                <w:szCs w:val="32"/>
                <w:highlight w:val="none"/>
              </w:rPr>
              <w:t>(元)</w:t>
            </w:r>
          </w:p>
        </w:tc>
        <w:tc>
          <w:tcPr>
            <w:tcW w:w="1719" w:type="dxa"/>
            <w:noWrap w:val="0"/>
            <w:vAlign w:val="top"/>
          </w:tcPr>
          <w:p w14:paraId="43578191">
            <w:pPr>
              <w:pStyle w:val="9"/>
              <w:keepNext w:val="0"/>
              <w:keepLines w:val="0"/>
              <w:pageBreakBefore w:val="0"/>
              <w:wordWrap/>
              <w:overflowPunct/>
              <w:topLinePunct w:val="0"/>
              <w:bidi w:val="0"/>
              <w:spacing w:before="273" w:line="560" w:lineRule="exact"/>
              <w:jc w:val="center"/>
              <w:rPr>
                <w:rFonts w:ascii="Times New Roman" w:hAnsi="Times New Roman"/>
                <w:color w:val="000000"/>
                <w:sz w:val="26"/>
                <w:szCs w:val="26"/>
                <w:highlight w:val="none"/>
              </w:rPr>
            </w:pPr>
            <w:r>
              <w:rPr>
                <w:rFonts w:hint="eastAsia" w:ascii="Times New Roman" w:hAnsi="Times New Roman" w:eastAsia="黑体" w:cs="黑体"/>
                <w:b w:val="0"/>
                <w:bCs w:val="0"/>
                <w:color w:val="000000"/>
                <w:spacing w:val="-7"/>
                <w:sz w:val="32"/>
                <w:szCs w:val="32"/>
                <w:highlight w:val="none"/>
              </w:rPr>
              <w:t>备注</w:t>
            </w:r>
          </w:p>
        </w:tc>
      </w:tr>
      <w:tr w14:paraId="3C39D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853" w:type="dxa"/>
            <w:vMerge w:val="restart"/>
            <w:tcBorders>
              <w:bottom w:val="nil"/>
            </w:tcBorders>
            <w:noWrap w:val="0"/>
            <w:vAlign w:val="center"/>
          </w:tcPr>
          <w:p w14:paraId="7A1425BB">
            <w:pPr>
              <w:pStyle w:val="9"/>
              <w:keepNext w:val="0"/>
              <w:keepLines w:val="0"/>
              <w:pageBreakBefore w:val="0"/>
              <w:wordWrap/>
              <w:overflowPunct/>
              <w:topLinePunct w:val="0"/>
              <w:bidi w:val="0"/>
              <w:spacing w:before="85"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5"/>
                <w:sz w:val="28"/>
                <w:szCs w:val="28"/>
                <w:highlight w:val="none"/>
              </w:rPr>
              <w:t>臭椿</w:t>
            </w:r>
          </w:p>
        </w:tc>
        <w:tc>
          <w:tcPr>
            <w:tcW w:w="2213" w:type="dxa"/>
            <w:noWrap w:val="0"/>
            <w:vAlign w:val="center"/>
          </w:tcPr>
          <w:p w14:paraId="12CCB851">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2.9以下</w:t>
            </w:r>
          </w:p>
        </w:tc>
        <w:tc>
          <w:tcPr>
            <w:tcW w:w="1245" w:type="dxa"/>
            <w:noWrap w:val="0"/>
            <w:vAlign w:val="center"/>
          </w:tcPr>
          <w:p w14:paraId="037EE088">
            <w:pPr>
              <w:pStyle w:val="9"/>
              <w:keepNext w:val="0"/>
              <w:keepLines w:val="0"/>
              <w:pageBreakBefore w:val="0"/>
              <w:wordWrap/>
              <w:overflowPunct/>
              <w:topLinePunct w:val="0"/>
              <w:bidi w:val="0"/>
              <w:spacing w:before="142"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noWrap w:val="0"/>
            <w:vAlign w:val="center"/>
          </w:tcPr>
          <w:p w14:paraId="0FB93935">
            <w:pPr>
              <w:pStyle w:val="9"/>
              <w:keepNext w:val="0"/>
              <w:keepLines w:val="0"/>
              <w:pageBreakBefore w:val="0"/>
              <w:wordWrap/>
              <w:overflowPunct/>
              <w:topLinePunct w:val="0"/>
              <w:bidi w:val="0"/>
              <w:spacing w:before="209" w:line="560" w:lineRule="exact"/>
              <w:jc w:val="center"/>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6</w:t>
            </w:r>
          </w:p>
        </w:tc>
        <w:tc>
          <w:tcPr>
            <w:tcW w:w="1719" w:type="dxa"/>
            <w:noWrap w:val="0"/>
            <w:vAlign w:val="center"/>
          </w:tcPr>
          <w:p w14:paraId="435E3665">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r>
      <w:tr w14:paraId="2A9C5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1853" w:type="dxa"/>
            <w:vMerge w:val="continue"/>
            <w:tcBorders>
              <w:top w:val="nil"/>
              <w:bottom w:val="nil"/>
            </w:tcBorders>
            <w:noWrap w:val="0"/>
            <w:vAlign w:val="top"/>
          </w:tcPr>
          <w:p w14:paraId="24CAEBF4">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213" w:type="dxa"/>
            <w:noWrap w:val="0"/>
            <w:vAlign w:val="center"/>
          </w:tcPr>
          <w:p w14:paraId="0FB52BF3">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4"/>
                <w:sz w:val="28"/>
                <w:szCs w:val="28"/>
                <w:highlight w:val="none"/>
              </w:rPr>
              <w:t>3—5.9</w:t>
            </w:r>
          </w:p>
        </w:tc>
        <w:tc>
          <w:tcPr>
            <w:tcW w:w="1245" w:type="dxa"/>
            <w:noWrap w:val="0"/>
            <w:vAlign w:val="center"/>
          </w:tcPr>
          <w:p w14:paraId="41764447">
            <w:pPr>
              <w:pStyle w:val="9"/>
              <w:keepNext w:val="0"/>
              <w:keepLines w:val="0"/>
              <w:pageBreakBefore w:val="0"/>
              <w:wordWrap/>
              <w:overflowPunct/>
              <w:topLinePunct w:val="0"/>
              <w:bidi w:val="0"/>
              <w:spacing w:before="154"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noWrap w:val="0"/>
            <w:vAlign w:val="center"/>
          </w:tcPr>
          <w:p w14:paraId="16BBD6F6">
            <w:pPr>
              <w:pStyle w:val="9"/>
              <w:keepNext w:val="0"/>
              <w:keepLines w:val="0"/>
              <w:pageBreakBefore w:val="0"/>
              <w:wordWrap/>
              <w:overflowPunct/>
              <w:topLinePunct w:val="0"/>
              <w:bidi w:val="0"/>
              <w:spacing w:before="223"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11</w:t>
            </w:r>
          </w:p>
        </w:tc>
        <w:tc>
          <w:tcPr>
            <w:tcW w:w="1719" w:type="dxa"/>
            <w:noWrap w:val="0"/>
            <w:vAlign w:val="center"/>
          </w:tcPr>
          <w:p w14:paraId="653F351A">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r>
      <w:tr w14:paraId="715E4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853" w:type="dxa"/>
            <w:vMerge w:val="continue"/>
            <w:tcBorders>
              <w:top w:val="nil"/>
              <w:bottom w:val="nil"/>
            </w:tcBorders>
            <w:noWrap w:val="0"/>
            <w:vAlign w:val="top"/>
          </w:tcPr>
          <w:p w14:paraId="687FED03">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213" w:type="dxa"/>
            <w:noWrap w:val="0"/>
            <w:vAlign w:val="center"/>
          </w:tcPr>
          <w:p w14:paraId="69EBB937">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6以上</w:t>
            </w:r>
          </w:p>
        </w:tc>
        <w:tc>
          <w:tcPr>
            <w:tcW w:w="1245" w:type="dxa"/>
            <w:noWrap w:val="0"/>
            <w:vAlign w:val="center"/>
          </w:tcPr>
          <w:p w14:paraId="1F196A17">
            <w:pPr>
              <w:pStyle w:val="9"/>
              <w:keepNext w:val="0"/>
              <w:keepLines w:val="0"/>
              <w:pageBreakBefore w:val="0"/>
              <w:wordWrap/>
              <w:overflowPunct/>
              <w:topLinePunct w:val="0"/>
              <w:bidi w:val="0"/>
              <w:spacing w:before="146"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noWrap w:val="0"/>
            <w:vAlign w:val="center"/>
          </w:tcPr>
          <w:p w14:paraId="03BC0B0F">
            <w:pPr>
              <w:pStyle w:val="9"/>
              <w:keepNext w:val="0"/>
              <w:keepLines w:val="0"/>
              <w:pageBreakBefore w:val="0"/>
              <w:wordWrap/>
              <w:overflowPunct/>
              <w:topLinePunct w:val="0"/>
              <w:bidi w:val="0"/>
              <w:spacing w:before="212"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20</w:t>
            </w:r>
          </w:p>
        </w:tc>
        <w:tc>
          <w:tcPr>
            <w:tcW w:w="1719" w:type="dxa"/>
            <w:noWrap w:val="0"/>
            <w:vAlign w:val="center"/>
          </w:tcPr>
          <w:p w14:paraId="7B2ABC90">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p>
        </w:tc>
      </w:tr>
      <w:tr w14:paraId="6A4A4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853" w:type="dxa"/>
            <w:vMerge w:val="continue"/>
            <w:tcBorders>
              <w:top w:val="nil"/>
            </w:tcBorders>
            <w:noWrap w:val="0"/>
            <w:vAlign w:val="top"/>
          </w:tcPr>
          <w:p w14:paraId="7A1BA153">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6947" w:type="dxa"/>
            <w:gridSpan w:val="4"/>
            <w:noWrap w:val="0"/>
            <w:vAlign w:val="top"/>
          </w:tcPr>
          <w:p w14:paraId="542A95A8">
            <w:pPr>
              <w:pStyle w:val="9"/>
              <w:keepNext w:val="0"/>
              <w:keepLines w:val="0"/>
              <w:pageBreakBefore w:val="0"/>
              <w:wordWrap/>
              <w:overflowPunct/>
              <w:topLinePunct w:val="0"/>
              <w:bidi w:val="0"/>
              <w:spacing w:before="238" w:line="560" w:lineRule="exact"/>
              <w:ind w:left="92"/>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b/>
                <w:bCs/>
                <w:color w:val="000000"/>
                <w:spacing w:val="-1"/>
                <w:sz w:val="28"/>
                <w:szCs w:val="28"/>
                <w:highlight w:val="none"/>
              </w:rPr>
              <w:t>说明：</w:t>
            </w:r>
            <w:r>
              <w:rPr>
                <w:rFonts w:hint="eastAsia" w:ascii="Times New Roman" w:hAnsi="Times New Roman" w:eastAsia="仿宋_GB2312" w:cs="仿宋_GB2312"/>
                <w:color w:val="000000"/>
                <w:spacing w:val="-1"/>
                <w:sz w:val="28"/>
                <w:szCs w:val="28"/>
                <w:highlight w:val="none"/>
              </w:rPr>
              <w:t>最大亩载量不超过</w:t>
            </w:r>
            <w:r>
              <w:rPr>
                <w:rFonts w:hint="eastAsia" w:ascii="Times New Roman" w:hAnsi="Times New Roman" w:eastAsia="仿宋_GB2312" w:cs="仿宋_GB2312"/>
                <w:color w:val="000000"/>
                <w:spacing w:val="-1"/>
                <w:sz w:val="28"/>
                <w:szCs w:val="28"/>
                <w:highlight w:val="none"/>
                <w:lang w:val="en-US" w:eastAsia="zh-CN"/>
              </w:rPr>
              <w:t>7</w:t>
            </w:r>
            <w:r>
              <w:rPr>
                <w:rFonts w:hint="eastAsia" w:ascii="Times New Roman" w:hAnsi="Times New Roman" w:eastAsia="仿宋_GB2312" w:cs="仿宋_GB2312"/>
                <w:color w:val="000000"/>
                <w:spacing w:val="-1"/>
                <w:sz w:val="28"/>
                <w:szCs w:val="28"/>
                <w:highlight w:val="none"/>
              </w:rPr>
              <w:t>00株。</w:t>
            </w:r>
          </w:p>
        </w:tc>
      </w:tr>
    </w:tbl>
    <w:p w14:paraId="34F3C698">
      <w:pPr>
        <w:keepNext w:val="0"/>
        <w:keepLines w:val="0"/>
        <w:pageBreakBefore w:val="0"/>
        <w:wordWrap/>
        <w:overflowPunct/>
        <w:topLinePunct w:val="0"/>
        <w:bidi w:val="0"/>
        <w:spacing w:before="104" w:line="560" w:lineRule="exact"/>
        <w:ind w:firstLine="631" w:firstLineChars="200"/>
        <w:outlineLvl w:val="6"/>
        <w:rPr>
          <w:rFonts w:ascii="Times New Roman" w:hAnsi="Times New Roman"/>
          <w:color w:val="000000"/>
          <w:sz w:val="2"/>
          <w:highlight w:val="none"/>
        </w:rPr>
      </w:pPr>
      <w:r>
        <w:rPr>
          <w:rFonts w:ascii="Times New Roman" w:hAnsi="Times New Roman" w:eastAsia="宋体" w:cs="宋体"/>
          <w:b/>
          <w:bCs/>
          <w:color w:val="000000"/>
          <w:spacing w:val="-3"/>
          <w:sz w:val="32"/>
          <w:szCs w:val="32"/>
          <w:highlight w:val="none"/>
        </w:rPr>
        <w:t>十、旱柳</w:t>
      </w:r>
    </w:p>
    <w:tbl>
      <w:tblPr>
        <w:tblStyle w:val="10"/>
        <w:tblW w:w="87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3"/>
        <w:gridCol w:w="2233"/>
        <w:gridCol w:w="1245"/>
        <w:gridCol w:w="1770"/>
        <w:gridCol w:w="1689"/>
      </w:tblGrid>
      <w:tr w14:paraId="5079E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2" w:hRule="atLeast"/>
        </w:trPr>
        <w:tc>
          <w:tcPr>
            <w:tcW w:w="1843" w:type="dxa"/>
            <w:noWrap w:val="0"/>
            <w:vAlign w:val="center"/>
          </w:tcPr>
          <w:p w14:paraId="0C7F02A8">
            <w:pPr>
              <w:pStyle w:val="9"/>
              <w:keepNext w:val="0"/>
              <w:keepLines w:val="0"/>
              <w:pageBreakBefore w:val="0"/>
              <w:wordWrap/>
              <w:overflowPunct/>
              <w:topLinePunct w:val="0"/>
              <w:bidi w:val="0"/>
              <w:spacing w:before="273" w:line="560" w:lineRule="exact"/>
              <w:jc w:val="center"/>
              <w:rPr>
                <w:rFonts w:ascii="Times New Roman" w:hAnsi="Times New Roman" w:eastAsia="宋体" w:cs="宋体"/>
                <w:snapToGrid w:val="0"/>
                <w:color w:val="000000"/>
                <w:kern w:val="0"/>
                <w:sz w:val="26"/>
                <w:szCs w:val="26"/>
                <w:highlight w:val="none"/>
                <w:lang w:val="en-US" w:eastAsia="en-US" w:bidi="ar-SA"/>
              </w:rPr>
            </w:pPr>
            <w:r>
              <w:rPr>
                <w:rFonts w:hint="eastAsia" w:ascii="Times New Roman" w:hAnsi="Times New Roman" w:eastAsia="黑体" w:cs="黑体"/>
                <w:b w:val="0"/>
                <w:bCs w:val="0"/>
                <w:color w:val="000000"/>
                <w:spacing w:val="3"/>
                <w:sz w:val="32"/>
                <w:szCs w:val="32"/>
                <w:highlight w:val="none"/>
              </w:rPr>
              <w:t>品种</w:t>
            </w:r>
          </w:p>
        </w:tc>
        <w:tc>
          <w:tcPr>
            <w:tcW w:w="2233" w:type="dxa"/>
            <w:noWrap w:val="0"/>
            <w:vAlign w:val="center"/>
          </w:tcPr>
          <w:p w14:paraId="5D9E6262">
            <w:pPr>
              <w:pStyle w:val="9"/>
              <w:keepNext w:val="0"/>
              <w:keepLines w:val="0"/>
              <w:pageBreakBefore w:val="0"/>
              <w:wordWrap/>
              <w:overflowPunct/>
              <w:topLinePunct w:val="0"/>
              <w:bidi w:val="0"/>
              <w:spacing w:before="70" w:line="560" w:lineRule="exact"/>
              <w:ind w:left="317" w:leftChars="0" w:right="219" w:rightChars="0" w:hanging="100" w:firstLineChars="0"/>
              <w:jc w:val="center"/>
              <w:rPr>
                <w:rFonts w:ascii="Times New Roman" w:hAnsi="Times New Roman" w:eastAsia="宋体" w:cs="宋体"/>
                <w:snapToGrid w:val="0"/>
                <w:color w:val="000000"/>
                <w:kern w:val="0"/>
                <w:sz w:val="26"/>
                <w:szCs w:val="26"/>
                <w:highlight w:val="none"/>
                <w:lang w:val="en-US" w:eastAsia="en-US" w:bidi="ar-SA"/>
              </w:rPr>
            </w:pPr>
            <w:r>
              <w:rPr>
                <w:rFonts w:hint="eastAsia" w:ascii="Times New Roman" w:hAnsi="Times New Roman" w:eastAsia="黑体" w:cs="黑体"/>
                <w:b w:val="0"/>
                <w:bCs w:val="0"/>
                <w:color w:val="000000"/>
                <w:spacing w:val="-8"/>
                <w:sz w:val="32"/>
                <w:szCs w:val="32"/>
                <w:highlight w:val="none"/>
              </w:rPr>
              <w:t>胸径</w:t>
            </w:r>
            <w:r>
              <w:rPr>
                <w:rFonts w:hint="eastAsia" w:ascii="Times New Roman" w:hAnsi="Times New Roman" w:eastAsia="黑体" w:cs="黑体"/>
                <w:b w:val="0"/>
                <w:bCs w:val="0"/>
                <w:color w:val="000000"/>
                <w:sz w:val="32"/>
                <w:szCs w:val="32"/>
                <w:highlight w:val="none"/>
              </w:rPr>
              <w:t xml:space="preserve"> </w:t>
            </w:r>
            <w:r>
              <w:rPr>
                <w:rFonts w:hint="eastAsia" w:ascii="Times New Roman" w:hAnsi="Times New Roman" w:eastAsia="黑体" w:cs="黑体"/>
                <w:b w:val="0"/>
                <w:bCs w:val="0"/>
                <w:color w:val="000000"/>
                <w:spacing w:val="-14"/>
                <w:sz w:val="32"/>
                <w:szCs w:val="32"/>
                <w:highlight w:val="none"/>
              </w:rPr>
              <w:t>(cm)</w:t>
            </w:r>
          </w:p>
        </w:tc>
        <w:tc>
          <w:tcPr>
            <w:tcW w:w="1245" w:type="dxa"/>
            <w:noWrap w:val="0"/>
            <w:vAlign w:val="center"/>
          </w:tcPr>
          <w:p w14:paraId="0F82594F">
            <w:pPr>
              <w:pStyle w:val="9"/>
              <w:keepNext w:val="0"/>
              <w:keepLines w:val="0"/>
              <w:pageBreakBefore w:val="0"/>
              <w:wordWrap/>
              <w:overflowPunct/>
              <w:topLinePunct w:val="0"/>
              <w:bidi w:val="0"/>
              <w:spacing w:before="273" w:line="560" w:lineRule="exact"/>
              <w:jc w:val="center"/>
              <w:rPr>
                <w:rFonts w:ascii="Times New Roman" w:hAnsi="Times New Roman" w:eastAsia="宋体" w:cs="宋体"/>
                <w:snapToGrid w:val="0"/>
                <w:color w:val="000000"/>
                <w:kern w:val="0"/>
                <w:sz w:val="26"/>
                <w:szCs w:val="26"/>
                <w:highlight w:val="none"/>
                <w:lang w:val="en-US" w:eastAsia="en-US" w:bidi="ar-SA"/>
              </w:rPr>
            </w:pPr>
            <w:r>
              <w:rPr>
                <w:rFonts w:hint="eastAsia" w:ascii="Times New Roman" w:hAnsi="Times New Roman" w:eastAsia="黑体" w:cs="黑体"/>
                <w:b w:val="0"/>
                <w:bCs w:val="0"/>
                <w:color w:val="000000"/>
                <w:spacing w:val="-7"/>
                <w:sz w:val="32"/>
                <w:szCs w:val="32"/>
                <w:highlight w:val="none"/>
              </w:rPr>
              <w:t>单位</w:t>
            </w:r>
          </w:p>
        </w:tc>
        <w:tc>
          <w:tcPr>
            <w:tcW w:w="1770" w:type="dxa"/>
            <w:noWrap w:val="0"/>
            <w:vAlign w:val="center"/>
          </w:tcPr>
          <w:p w14:paraId="0D877373">
            <w:pPr>
              <w:pStyle w:val="9"/>
              <w:keepNext w:val="0"/>
              <w:keepLines w:val="0"/>
              <w:pageBreakBefore w:val="0"/>
              <w:wordWrap/>
              <w:overflowPunct/>
              <w:topLinePunct w:val="0"/>
              <w:bidi w:val="0"/>
              <w:spacing w:before="69" w:line="560" w:lineRule="exact"/>
              <w:jc w:val="center"/>
              <w:rPr>
                <w:rFonts w:ascii="Times New Roman" w:hAnsi="Times New Roman" w:eastAsia="宋体" w:cs="宋体"/>
                <w:snapToGrid w:val="0"/>
                <w:color w:val="000000"/>
                <w:kern w:val="0"/>
                <w:sz w:val="26"/>
                <w:szCs w:val="26"/>
                <w:highlight w:val="none"/>
                <w:lang w:val="en-US" w:eastAsia="en-US" w:bidi="ar-SA"/>
              </w:rPr>
            </w:pPr>
            <w:r>
              <w:rPr>
                <w:rFonts w:hint="eastAsia" w:ascii="Times New Roman" w:hAnsi="Times New Roman" w:eastAsia="黑体" w:cs="黑体"/>
                <w:b w:val="0"/>
                <w:bCs w:val="0"/>
                <w:color w:val="000000"/>
                <w:spacing w:val="-6"/>
                <w:sz w:val="32"/>
                <w:szCs w:val="32"/>
                <w:highlight w:val="none"/>
              </w:rPr>
              <w:t>参考价</w:t>
            </w:r>
            <w:r>
              <w:rPr>
                <w:rFonts w:hint="eastAsia" w:ascii="Times New Roman" w:hAnsi="Times New Roman" w:eastAsia="黑体" w:cs="黑体"/>
                <w:b w:val="0"/>
                <w:bCs w:val="0"/>
                <w:color w:val="000000"/>
                <w:spacing w:val="14"/>
                <w:sz w:val="32"/>
                <w:szCs w:val="32"/>
                <w:highlight w:val="none"/>
              </w:rPr>
              <w:t>(元)</w:t>
            </w:r>
          </w:p>
        </w:tc>
        <w:tc>
          <w:tcPr>
            <w:tcW w:w="1689" w:type="dxa"/>
            <w:noWrap w:val="0"/>
            <w:vAlign w:val="center"/>
          </w:tcPr>
          <w:p w14:paraId="08528ED9">
            <w:pPr>
              <w:pStyle w:val="9"/>
              <w:keepNext w:val="0"/>
              <w:keepLines w:val="0"/>
              <w:pageBreakBefore w:val="0"/>
              <w:wordWrap/>
              <w:overflowPunct/>
              <w:topLinePunct w:val="0"/>
              <w:bidi w:val="0"/>
              <w:spacing w:before="273" w:line="560" w:lineRule="exact"/>
              <w:jc w:val="center"/>
              <w:rPr>
                <w:rFonts w:ascii="Times New Roman" w:hAnsi="Times New Roman" w:eastAsia="宋体" w:cs="宋体"/>
                <w:snapToGrid w:val="0"/>
                <w:color w:val="000000"/>
                <w:kern w:val="0"/>
                <w:sz w:val="26"/>
                <w:szCs w:val="26"/>
                <w:highlight w:val="none"/>
                <w:lang w:val="en-US" w:eastAsia="en-US" w:bidi="ar-SA"/>
              </w:rPr>
            </w:pPr>
            <w:r>
              <w:rPr>
                <w:rFonts w:hint="eastAsia" w:ascii="Times New Roman" w:hAnsi="Times New Roman" w:eastAsia="黑体" w:cs="黑体"/>
                <w:b w:val="0"/>
                <w:bCs w:val="0"/>
                <w:color w:val="000000"/>
                <w:spacing w:val="-7"/>
                <w:sz w:val="32"/>
                <w:szCs w:val="32"/>
                <w:highlight w:val="none"/>
              </w:rPr>
              <w:t>备注</w:t>
            </w:r>
          </w:p>
        </w:tc>
      </w:tr>
      <w:tr w14:paraId="39541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843" w:type="dxa"/>
            <w:vMerge w:val="restart"/>
            <w:tcBorders>
              <w:bottom w:val="nil"/>
            </w:tcBorders>
            <w:noWrap w:val="0"/>
            <w:vAlign w:val="center"/>
          </w:tcPr>
          <w:p w14:paraId="0484CC09">
            <w:pPr>
              <w:pStyle w:val="9"/>
              <w:keepNext w:val="0"/>
              <w:keepLines w:val="0"/>
              <w:pageBreakBefore w:val="0"/>
              <w:wordWrap/>
              <w:overflowPunct/>
              <w:topLinePunct w:val="0"/>
              <w:bidi w:val="0"/>
              <w:spacing w:before="84"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7"/>
                <w:sz w:val="28"/>
                <w:szCs w:val="28"/>
                <w:highlight w:val="none"/>
              </w:rPr>
              <w:t>旱柳</w:t>
            </w:r>
          </w:p>
        </w:tc>
        <w:tc>
          <w:tcPr>
            <w:tcW w:w="2233" w:type="dxa"/>
            <w:noWrap w:val="0"/>
            <w:vAlign w:val="center"/>
          </w:tcPr>
          <w:p w14:paraId="530D5BD5">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3.9以下</w:t>
            </w:r>
          </w:p>
        </w:tc>
        <w:tc>
          <w:tcPr>
            <w:tcW w:w="1245" w:type="dxa"/>
            <w:noWrap w:val="0"/>
            <w:vAlign w:val="center"/>
          </w:tcPr>
          <w:p w14:paraId="4989CEDE">
            <w:pPr>
              <w:pStyle w:val="9"/>
              <w:keepNext w:val="0"/>
              <w:keepLines w:val="0"/>
              <w:pageBreakBefore w:val="0"/>
              <w:wordWrap/>
              <w:overflowPunct/>
              <w:topLinePunct w:val="0"/>
              <w:bidi w:val="0"/>
              <w:spacing w:before="143"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noWrap w:val="0"/>
            <w:vAlign w:val="center"/>
          </w:tcPr>
          <w:p w14:paraId="50DF13AC">
            <w:pPr>
              <w:pStyle w:val="9"/>
              <w:keepNext w:val="0"/>
              <w:keepLines w:val="0"/>
              <w:pageBreakBefore w:val="0"/>
              <w:wordWrap/>
              <w:overflowPunct/>
              <w:topLinePunct w:val="0"/>
              <w:bidi w:val="0"/>
              <w:spacing w:before="210"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15</w:t>
            </w:r>
          </w:p>
        </w:tc>
        <w:tc>
          <w:tcPr>
            <w:tcW w:w="1689" w:type="dxa"/>
            <w:noWrap w:val="0"/>
            <w:vAlign w:val="center"/>
          </w:tcPr>
          <w:p w14:paraId="63A21E2D">
            <w:pPr>
              <w:keepNext w:val="0"/>
              <w:keepLines w:val="0"/>
              <w:pageBreakBefore w:val="0"/>
              <w:wordWrap/>
              <w:overflowPunct/>
              <w:topLinePunct w:val="0"/>
              <w:bidi w:val="0"/>
              <w:spacing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5B543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843" w:type="dxa"/>
            <w:vMerge w:val="continue"/>
            <w:tcBorders>
              <w:top w:val="nil"/>
              <w:bottom w:val="nil"/>
            </w:tcBorders>
            <w:noWrap w:val="0"/>
            <w:vAlign w:val="top"/>
          </w:tcPr>
          <w:p w14:paraId="682ACF14">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233" w:type="dxa"/>
            <w:noWrap w:val="0"/>
            <w:vAlign w:val="center"/>
          </w:tcPr>
          <w:p w14:paraId="28265D6C">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2"/>
                <w:sz w:val="28"/>
                <w:szCs w:val="28"/>
                <w:highlight w:val="none"/>
              </w:rPr>
              <w:t>4—7.9</w:t>
            </w:r>
          </w:p>
        </w:tc>
        <w:tc>
          <w:tcPr>
            <w:tcW w:w="1245" w:type="dxa"/>
            <w:noWrap w:val="0"/>
            <w:vAlign w:val="center"/>
          </w:tcPr>
          <w:p w14:paraId="17319A39">
            <w:pPr>
              <w:pStyle w:val="9"/>
              <w:keepNext w:val="0"/>
              <w:keepLines w:val="0"/>
              <w:pageBreakBefore w:val="0"/>
              <w:wordWrap/>
              <w:overflowPunct/>
              <w:topLinePunct w:val="0"/>
              <w:bidi w:val="0"/>
              <w:spacing w:before="145"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noWrap w:val="0"/>
            <w:vAlign w:val="center"/>
          </w:tcPr>
          <w:p w14:paraId="2284EDC1">
            <w:pPr>
              <w:pStyle w:val="9"/>
              <w:keepNext w:val="0"/>
              <w:keepLines w:val="0"/>
              <w:pageBreakBefore w:val="0"/>
              <w:wordWrap/>
              <w:overflowPunct/>
              <w:topLinePunct w:val="0"/>
              <w:bidi w:val="0"/>
              <w:spacing w:before="214"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25</w:t>
            </w:r>
          </w:p>
        </w:tc>
        <w:tc>
          <w:tcPr>
            <w:tcW w:w="1689" w:type="dxa"/>
            <w:noWrap w:val="0"/>
            <w:vAlign w:val="center"/>
          </w:tcPr>
          <w:p w14:paraId="0D469507">
            <w:pPr>
              <w:keepNext w:val="0"/>
              <w:keepLines w:val="0"/>
              <w:pageBreakBefore w:val="0"/>
              <w:wordWrap/>
              <w:overflowPunct/>
              <w:topLinePunct w:val="0"/>
              <w:bidi w:val="0"/>
              <w:spacing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295F9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1843" w:type="dxa"/>
            <w:vMerge w:val="continue"/>
            <w:tcBorders>
              <w:top w:val="nil"/>
              <w:bottom w:val="nil"/>
            </w:tcBorders>
            <w:noWrap w:val="0"/>
            <w:vAlign w:val="top"/>
          </w:tcPr>
          <w:p w14:paraId="60D95E6F">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2233" w:type="dxa"/>
            <w:noWrap w:val="0"/>
            <w:vAlign w:val="center"/>
          </w:tcPr>
          <w:p w14:paraId="22B9F414">
            <w:pPr>
              <w:keepNext w:val="0"/>
              <w:keepLines w:val="0"/>
              <w:pageBreakBefore w:val="0"/>
              <w:wordWrap/>
              <w:overflowPunct/>
              <w:topLinePunct w:val="0"/>
              <w:bidi w:val="0"/>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8以上</w:t>
            </w:r>
          </w:p>
        </w:tc>
        <w:tc>
          <w:tcPr>
            <w:tcW w:w="1245" w:type="dxa"/>
            <w:noWrap w:val="0"/>
            <w:vAlign w:val="center"/>
          </w:tcPr>
          <w:p w14:paraId="39495BB5">
            <w:pPr>
              <w:pStyle w:val="9"/>
              <w:keepNext w:val="0"/>
              <w:keepLines w:val="0"/>
              <w:pageBreakBefore w:val="0"/>
              <w:wordWrap/>
              <w:overflowPunct/>
              <w:topLinePunct w:val="0"/>
              <w:bidi w:val="0"/>
              <w:spacing w:before="147"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pacing w:val="3"/>
                <w:sz w:val="28"/>
                <w:szCs w:val="28"/>
                <w:highlight w:val="none"/>
              </w:rPr>
              <w:t>元/株</w:t>
            </w:r>
          </w:p>
        </w:tc>
        <w:tc>
          <w:tcPr>
            <w:tcW w:w="1770" w:type="dxa"/>
            <w:noWrap w:val="0"/>
            <w:vAlign w:val="center"/>
          </w:tcPr>
          <w:p w14:paraId="10DF1A05">
            <w:pPr>
              <w:pStyle w:val="9"/>
              <w:keepNext w:val="0"/>
              <w:keepLines w:val="0"/>
              <w:pageBreakBefore w:val="0"/>
              <w:wordWrap/>
              <w:overflowPunct/>
              <w:topLinePunct w:val="0"/>
              <w:bidi w:val="0"/>
              <w:spacing w:before="213" w:line="560" w:lineRule="exact"/>
              <w:jc w:val="center"/>
              <w:rPr>
                <w:rFonts w:hint="default"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pacing w:val="-8"/>
                <w:sz w:val="28"/>
                <w:szCs w:val="28"/>
                <w:highlight w:val="none"/>
                <w:lang w:val="en-US" w:eastAsia="zh-CN"/>
              </w:rPr>
              <w:t>40</w:t>
            </w:r>
          </w:p>
        </w:tc>
        <w:tc>
          <w:tcPr>
            <w:tcW w:w="1689" w:type="dxa"/>
            <w:noWrap w:val="0"/>
            <w:vAlign w:val="center"/>
          </w:tcPr>
          <w:p w14:paraId="14AE86A0">
            <w:pPr>
              <w:keepNext w:val="0"/>
              <w:keepLines w:val="0"/>
              <w:pageBreakBefore w:val="0"/>
              <w:wordWrap/>
              <w:overflowPunct/>
              <w:topLinePunct w:val="0"/>
              <w:bidi w:val="0"/>
              <w:spacing w:line="560" w:lineRule="exact"/>
              <w:jc w:val="center"/>
              <w:rPr>
                <w:rFonts w:hint="eastAsia" w:ascii="Times New Roman" w:hAnsi="Times New Roman" w:eastAsia="仿宋_GB2312" w:cs="仿宋_GB2312"/>
                <w:snapToGrid w:val="0"/>
                <w:color w:val="000000"/>
                <w:kern w:val="0"/>
                <w:sz w:val="28"/>
                <w:szCs w:val="28"/>
                <w:highlight w:val="none"/>
                <w:lang w:val="en-US" w:eastAsia="zh-CN" w:bidi="ar-SA"/>
              </w:rPr>
            </w:pPr>
          </w:p>
        </w:tc>
      </w:tr>
      <w:tr w14:paraId="0C20A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843" w:type="dxa"/>
            <w:vMerge w:val="continue"/>
            <w:tcBorders>
              <w:top w:val="nil"/>
            </w:tcBorders>
            <w:noWrap w:val="0"/>
            <w:vAlign w:val="top"/>
          </w:tcPr>
          <w:p w14:paraId="367E57A9">
            <w:pPr>
              <w:keepNext w:val="0"/>
              <w:keepLines w:val="0"/>
              <w:pageBreakBefore w:val="0"/>
              <w:wordWrap/>
              <w:overflowPunct/>
              <w:topLinePunct w:val="0"/>
              <w:bidi w:val="0"/>
              <w:spacing w:line="560" w:lineRule="exact"/>
              <w:rPr>
                <w:rFonts w:hint="eastAsia" w:ascii="Times New Roman" w:hAnsi="Times New Roman" w:eastAsia="仿宋_GB2312" w:cs="仿宋_GB2312"/>
                <w:color w:val="000000"/>
                <w:sz w:val="28"/>
                <w:szCs w:val="28"/>
                <w:highlight w:val="none"/>
              </w:rPr>
            </w:pPr>
          </w:p>
        </w:tc>
        <w:tc>
          <w:tcPr>
            <w:tcW w:w="6937" w:type="dxa"/>
            <w:gridSpan w:val="4"/>
            <w:noWrap w:val="0"/>
            <w:vAlign w:val="center"/>
          </w:tcPr>
          <w:p w14:paraId="6F349D47">
            <w:pPr>
              <w:pStyle w:val="9"/>
              <w:keepNext w:val="0"/>
              <w:keepLines w:val="0"/>
              <w:pageBreakBefore w:val="0"/>
              <w:wordWrap/>
              <w:overflowPunct/>
              <w:topLinePunct w:val="0"/>
              <w:bidi w:val="0"/>
              <w:spacing w:before="229" w:line="560" w:lineRule="exact"/>
              <w:jc w:val="both"/>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b/>
                <w:bCs/>
                <w:color w:val="000000"/>
                <w:spacing w:val="-1"/>
                <w:sz w:val="28"/>
                <w:szCs w:val="28"/>
                <w:highlight w:val="none"/>
              </w:rPr>
              <w:t>说明：</w:t>
            </w:r>
            <w:r>
              <w:rPr>
                <w:rFonts w:hint="eastAsia" w:ascii="Times New Roman" w:hAnsi="Times New Roman" w:eastAsia="仿宋_GB2312" w:cs="仿宋_GB2312"/>
                <w:color w:val="000000"/>
                <w:spacing w:val="-1"/>
                <w:sz w:val="28"/>
                <w:szCs w:val="28"/>
                <w:highlight w:val="none"/>
              </w:rPr>
              <w:t>最大亩载量不超过</w:t>
            </w:r>
            <w:r>
              <w:rPr>
                <w:rFonts w:hint="eastAsia" w:ascii="Times New Roman" w:hAnsi="Times New Roman" w:eastAsia="仿宋_GB2312" w:cs="仿宋_GB2312"/>
                <w:color w:val="000000"/>
                <w:spacing w:val="-1"/>
                <w:sz w:val="28"/>
                <w:szCs w:val="28"/>
                <w:highlight w:val="none"/>
                <w:lang w:val="en-US" w:eastAsia="zh-CN"/>
              </w:rPr>
              <w:t>7</w:t>
            </w:r>
            <w:r>
              <w:rPr>
                <w:rFonts w:hint="eastAsia" w:ascii="Times New Roman" w:hAnsi="Times New Roman" w:eastAsia="仿宋_GB2312" w:cs="仿宋_GB2312"/>
                <w:color w:val="000000"/>
                <w:spacing w:val="-1"/>
                <w:sz w:val="28"/>
                <w:szCs w:val="28"/>
                <w:highlight w:val="none"/>
              </w:rPr>
              <w:t>00株。</w:t>
            </w:r>
          </w:p>
        </w:tc>
      </w:tr>
    </w:tbl>
    <w:p w14:paraId="53CE621A">
      <w:pPr>
        <w:keepNext w:val="0"/>
        <w:keepLines w:val="0"/>
        <w:pageBreakBefore w:val="0"/>
        <w:widowControl w:val="0"/>
        <w:kinsoku/>
        <w:wordWrap/>
        <w:overflowPunct/>
        <w:topLinePunct w:val="0"/>
        <w:autoSpaceDE/>
        <w:autoSpaceDN/>
        <w:bidi w:val="0"/>
        <w:adjustRightInd/>
        <w:snapToGrid/>
        <w:spacing w:line="20" w:lineRule="exact"/>
        <w:textAlignment w:val="auto"/>
        <w:rPr>
          <w:rFonts w:ascii="Times New Roman" w:hAnsi="Times New Roman"/>
          <w:color w:val="000000"/>
          <w:highlight w:val="none"/>
        </w:rPr>
      </w:pPr>
    </w:p>
    <w:sectPr>
      <w:footerReference r:id="rId6" w:type="default"/>
      <w:pgSz w:w="11906" w:h="16838"/>
      <w:pgMar w:top="2098" w:right="1474" w:bottom="1984" w:left="1587" w:header="964" w:footer="1417" w:gutter="0"/>
      <w:pgNumType w:fmt="decimal"/>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哈晴" w:date="2025-06-05T17:16:00Z" w:initials="">
    <w:p w14:paraId="4E5DB3B8">
      <w:pPr>
        <w:pStyle w:val="2"/>
        <w:rPr>
          <w:rFonts w:hint="default" w:eastAsia="宋体"/>
          <w:lang w:val="en-US" w:eastAsia="zh-CN"/>
        </w:rPr>
      </w:pPr>
      <w:r>
        <w:rPr>
          <w:rFonts w:hint="eastAsia"/>
          <w:lang w:val="en-US" w:eastAsia="zh-CN"/>
        </w:rPr>
        <w:t>确定按草原证还是二轮承包数据。</w:t>
      </w:r>
    </w:p>
  </w:comment>
  <w:comment w:id="1" w:author="哈晴" w:date="2025-06-05T17:38:00Z" w:initials="">
    <w:p w14:paraId="360EE982">
      <w:pPr>
        <w:pStyle w:val="2"/>
        <w:rPr>
          <w:rFonts w:hint="default" w:eastAsia="宋体"/>
          <w:lang w:val="en-US" w:eastAsia="zh-CN"/>
        </w:rPr>
      </w:pPr>
      <w:r>
        <w:rPr>
          <w:rFonts w:hint="eastAsia"/>
          <w:lang w:val="en-US" w:eastAsia="zh-CN"/>
        </w:rPr>
        <w:t>进行核实后确定。</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E5DB3B8" w15:done="0"/>
  <w15:commentEx w15:paraId="360EE98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E890EA0-7A12-4579-B520-A0EA3ED0495E}"/>
  </w:font>
  <w:font w:name="黑体">
    <w:panose1 w:val="02010609060101010101"/>
    <w:charset w:val="86"/>
    <w:family w:val="auto"/>
    <w:pitch w:val="default"/>
    <w:sig w:usb0="800002BF" w:usb1="38CF7CFA" w:usb2="00000016" w:usb3="00000000" w:csb0="00040001" w:csb1="00000000"/>
    <w:embedRegular r:id="rId2" w:fontKey="{412BF044-95DF-4BB9-98F8-06DD4B4010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C8977655-E2E8-4F9C-85EB-C74B64EC9099}"/>
  </w:font>
  <w:font w:name="仿宋_GB2312">
    <w:altName w:val="仿宋"/>
    <w:panose1 w:val="02010609030101010101"/>
    <w:charset w:val="86"/>
    <w:family w:val="auto"/>
    <w:pitch w:val="default"/>
    <w:sig w:usb0="00000001" w:usb1="080E0000" w:usb2="00000000" w:usb3="00000000" w:csb0="00040000" w:csb1="00000000"/>
    <w:embedRegular r:id="rId4" w:fontKey="{3CA2B452-ADF9-4DBF-B9E1-5C7280BB3D06}"/>
  </w:font>
  <w:font w:name="仿宋">
    <w:panose1 w:val="02010609060101010101"/>
    <w:charset w:val="86"/>
    <w:family w:val="auto"/>
    <w:pitch w:val="default"/>
    <w:sig w:usb0="800002BF" w:usb1="38CF7CFA" w:usb2="00000016" w:usb3="00000000" w:csb0="00040001" w:csb1="00000000"/>
    <w:embedRegular r:id="rId5" w:fontKey="{73783A39-F939-47CE-9E51-C479B2F75D84}"/>
  </w:font>
  <w:font w:name="楷体_GB2312">
    <w:altName w:val="楷体"/>
    <w:panose1 w:val="02010609030101010101"/>
    <w:charset w:val="86"/>
    <w:family w:val="auto"/>
    <w:pitch w:val="default"/>
    <w:sig w:usb0="00000001" w:usb1="080E0000" w:usb2="00000000" w:usb3="00000000" w:csb0="00040000" w:csb1="00000000"/>
    <w:embedRegular r:id="rId6" w:fontKey="{EAFF557F-2C29-4741-89FB-AFA0BDD59D47}"/>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5E61E">
    <w:pPr>
      <w:spacing w:line="177" w:lineRule="auto"/>
      <w:ind w:left="285"/>
      <w:rPr>
        <w:rFonts w:ascii="宋体" w:hAnsi="宋体" w:eastAsia="宋体" w:cs="宋体"/>
        <w:sz w:val="31"/>
        <w:szCs w:val="31"/>
      </w:rPr>
    </w:pPr>
    <w:r>
      <w:rPr>
        <w:sz w:val="3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205057">
                          <w:pPr>
                            <w:pStyle w:val="4"/>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7D205057">
                    <w:pPr>
                      <w:pStyle w:val="4"/>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5A81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4726BD">
                          <w:pPr>
                            <w:pStyle w:val="4"/>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54726BD">
                    <w:pPr>
                      <w:pStyle w:val="4"/>
                      <w:rPr>
                        <w:rFonts w:hint="eastAsia" w:ascii="宋体" w:hAnsi="宋体" w:eastAsia="宋体" w:cs="宋体"/>
                        <w:sz w:val="28"/>
                        <w:szCs w:val="44"/>
                        <w:lang w:val="en-US" w:eastAsia="zh-CN"/>
                      </w:rPr>
                    </w:pPr>
                    <w:r>
                      <w:rPr>
                        <w:rFonts w:hint="eastAsia" w:ascii="宋体" w:hAnsi="宋体" w:eastAsia="宋体" w:cs="宋体"/>
                        <w:sz w:val="28"/>
                        <w:szCs w:val="44"/>
                        <w:lang w:eastAsia="zh-CN"/>
                      </w:rPr>
                      <w:t>—</w:t>
                    </w:r>
                    <w:r>
                      <w:rPr>
                        <w:rFonts w:hint="eastAsia" w:ascii="宋体" w:hAnsi="宋体" w:eastAsia="宋体" w:cs="宋体"/>
                        <w:sz w:val="28"/>
                        <w:szCs w:val="44"/>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80CC6"/>
    <w:multiLevelType w:val="singleLevel"/>
    <w:tmpl w:val="BCB80CC6"/>
    <w:lvl w:ilvl="0" w:tentative="0">
      <w:start w:val="1"/>
      <w:numFmt w:val="decimal"/>
      <w:lvlText w:val="%1."/>
      <w:lvlJc w:val="left"/>
      <w:pPr>
        <w:tabs>
          <w:tab w:val="left" w:pos="312"/>
        </w:tabs>
      </w:pPr>
    </w:lvl>
  </w:abstractNum>
  <w:abstractNum w:abstractNumId="1">
    <w:nsid w:val="041FA355"/>
    <w:multiLevelType w:val="singleLevel"/>
    <w:tmpl w:val="041FA355"/>
    <w:lvl w:ilvl="0" w:tentative="0">
      <w:start w:val="1"/>
      <w:numFmt w:val="chineseCounting"/>
      <w:suff w:val="space"/>
      <w:lvlText w:val="第%1章"/>
      <w:lvlJc w:val="left"/>
      <w:rPr>
        <w:rFonts w:hint="eastAsia"/>
      </w:rPr>
    </w:lvl>
  </w:abstractNum>
  <w:abstractNum w:abstractNumId="2">
    <w:nsid w:val="4F142A96"/>
    <w:multiLevelType w:val="singleLevel"/>
    <w:tmpl w:val="4F142A96"/>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哈晴">
    <w15:presenceInfo w15:providerId="None" w15:userId="哈晴"/>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BB32C6"/>
    <w:rsid w:val="06783F44"/>
    <w:rsid w:val="09213467"/>
    <w:rsid w:val="0AF251F0"/>
    <w:rsid w:val="183879D7"/>
    <w:rsid w:val="192F38AD"/>
    <w:rsid w:val="1C2C7853"/>
    <w:rsid w:val="1CDC1BD7"/>
    <w:rsid w:val="2288155B"/>
    <w:rsid w:val="23144B9D"/>
    <w:rsid w:val="261434F5"/>
    <w:rsid w:val="2C3D57DA"/>
    <w:rsid w:val="2EBB32C6"/>
    <w:rsid w:val="33F56325"/>
    <w:rsid w:val="372A7512"/>
    <w:rsid w:val="39E178DE"/>
    <w:rsid w:val="3B8E32E7"/>
    <w:rsid w:val="3C7E561A"/>
    <w:rsid w:val="4535081C"/>
    <w:rsid w:val="467A69B3"/>
    <w:rsid w:val="46F81F5C"/>
    <w:rsid w:val="49845D29"/>
    <w:rsid w:val="4E0D453F"/>
    <w:rsid w:val="50FE4613"/>
    <w:rsid w:val="5135593D"/>
    <w:rsid w:val="51BD44CE"/>
    <w:rsid w:val="52187956"/>
    <w:rsid w:val="54C31E09"/>
    <w:rsid w:val="59E73483"/>
    <w:rsid w:val="5ACB2560"/>
    <w:rsid w:val="6FA27FC5"/>
    <w:rsid w:val="718D75C1"/>
    <w:rsid w:val="71B903B6"/>
    <w:rsid w:val="745E13D5"/>
    <w:rsid w:val="769E7B7B"/>
    <w:rsid w:val="7D863CD2"/>
    <w:rsid w:val="7E6D05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Emphasis"/>
    <w:basedOn w:val="7"/>
    <w:qFormat/>
    <w:uiPriority w:val="0"/>
    <w:rPr>
      <w:i/>
    </w:rPr>
  </w:style>
  <w:style w:type="paragraph" w:customStyle="1" w:styleId="9">
    <w:name w:val="Table Text"/>
    <w:basedOn w:val="1"/>
    <w:semiHidden/>
    <w:qFormat/>
    <w:uiPriority w:val="0"/>
    <w:rPr>
      <w:rFonts w:ascii="宋体" w:hAnsi="宋体" w:eastAsia="宋体" w:cs="宋体"/>
      <w:sz w:val="27"/>
      <w:szCs w:val="27"/>
      <w:lang w:val="en-US" w:eastAsia="en-US" w:bidi="ar-SA"/>
    </w:rPr>
  </w:style>
  <w:style w:type="table" w:customStyle="1" w:styleId="10">
    <w:name w:val="Table Normal"/>
    <w:unhideWhenUsed/>
    <w:qFormat/>
    <w:uiPriority w:val="0"/>
    <w:tblPr>
      <w:tblStyle w:val="6"/>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5695</Words>
  <Characters>5938</Characters>
  <Lines>0</Lines>
  <Paragraphs>0</Paragraphs>
  <TotalTime>677</TotalTime>
  <ScaleCrop>false</ScaleCrop>
  <LinksUpToDate>false</LinksUpToDate>
  <CharactersWithSpaces>6012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2025-04-21T08:33:00Z</dcterms:created>
  <dc:creator>JPF</dc:creator>
  <cp:lastModifiedBy>Z。</cp:lastModifiedBy>
  <cp:lastPrinted>2025-05-22T06:13:00Z</cp:lastPrinted>
  <dcterms:modified xsi:type="dcterms:W3CDTF">2025-09-28T09:16:11Z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344309F00DF641FB88FBA8512440DA5B_13</vt:lpwstr>
  </property>
  <property fmtid="{D5CDD505-2E9C-101B-9397-08002B2CF9AE}" pid="4" name="KSOTemplateDocerSaveRecord">
    <vt:lpwstr>eyJoZGlkIjoiZGZmMWM0NDY2YWU4M2Q3YWQyMzc0ZmE3OTQzYzcxOGQiLCJ1c2VySWQiOiIzNzgyODIxMTgifQ==</vt:lpwstr>
  </property>
</Properties>
</file>