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14</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鄂托克前旗玛拉迪嘉禾天华环保制砖厂</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年产</w:t>
      </w:r>
      <w:r>
        <w:rPr>
          <w:rFonts w:hint="eastAsia" w:ascii="方正小标宋简体" w:eastAsia="方正小标宋简体"/>
          <w:sz w:val="44"/>
          <w:szCs w:val="44"/>
          <w:lang w:val="en-US" w:eastAsia="zh-CN"/>
        </w:rPr>
        <w:t>6000</w:t>
      </w:r>
      <w:r>
        <w:rPr>
          <w:rFonts w:hint="eastAsia" w:ascii="方正小标宋简体" w:eastAsia="方正小标宋简体"/>
          <w:sz w:val="44"/>
          <w:szCs w:val="44"/>
        </w:rPr>
        <w:t>万块空心烧结砖（折标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砖</w:t>
      </w:r>
      <w:r>
        <w:rPr>
          <w:rFonts w:hint="eastAsia" w:ascii="方正小标宋简体" w:eastAsia="方正小标宋简体"/>
          <w:sz w:val="44"/>
          <w:szCs w:val="44"/>
          <w:lang w:val="en-US" w:eastAsia="zh-CN"/>
        </w:rPr>
        <w:t>1</w:t>
      </w:r>
      <w:r>
        <w:rPr>
          <w:rFonts w:hint="eastAsia" w:ascii="方正小标宋简体" w:eastAsia="方正小标宋简体"/>
          <w:sz w:val="44"/>
          <w:szCs w:val="44"/>
        </w:rPr>
        <w:t>亿块）技术改造项目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鄂托克前旗玛拉迪嘉禾天华环保制砖厂：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由内蒙古钜捷环保科技有限公司编制的</w:t>
      </w:r>
      <w:r>
        <w:rPr>
          <w:rFonts w:hint="eastAsia" w:ascii="仿宋_GB2312" w:hAnsi="仿宋_GB2312" w:eastAsia="仿宋_GB2312" w:cs="仿宋_GB2312"/>
          <w:b w:val="0"/>
          <w:bCs w:val="0"/>
          <w:sz w:val="32"/>
          <w:szCs w:val="32"/>
        </w:rPr>
        <w:t>《鄂托克前旗玛拉迪嘉禾天华环保制砖厂年产</w:t>
      </w:r>
      <w:r>
        <w:rPr>
          <w:rFonts w:hint="eastAsia" w:ascii="仿宋_GB2312" w:hAnsi="仿宋_GB2312" w:eastAsia="仿宋_GB2312" w:cs="仿宋_GB2312"/>
          <w:b w:val="0"/>
          <w:bCs w:val="0"/>
          <w:sz w:val="32"/>
          <w:szCs w:val="32"/>
          <w:lang w:val="en-US" w:eastAsia="zh-CN"/>
        </w:rPr>
        <w:t>6000</w:t>
      </w:r>
      <w:r>
        <w:rPr>
          <w:rFonts w:hint="eastAsia" w:ascii="仿宋_GB2312" w:hAnsi="仿宋_GB2312" w:eastAsia="仿宋_GB2312" w:cs="仿宋_GB2312"/>
          <w:b w:val="0"/>
          <w:bCs w:val="0"/>
          <w:sz w:val="32"/>
          <w:szCs w:val="32"/>
        </w:rPr>
        <w:t>万块空心烧结砖（折标砖</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亿块）技术改造项目环境影响报告表》（以下简称《报告表》）已收悉。经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本</w:t>
      </w:r>
      <w:r>
        <w:rPr>
          <w:rFonts w:hint="eastAsia" w:ascii="仿宋_GB2312" w:hAnsi="仿宋_GB2312" w:eastAsia="仿宋_GB2312" w:cs="仿宋_GB2312"/>
          <w:b w:val="0"/>
          <w:bCs w:val="0"/>
          <w:sz w:val="32"/>
          <w:szCs w:val="32"/>
        </w:rPr>
        <w:t>项目</w:t>
      </w:r>
      <w:r>
        <w:rPr>
          <w:rFonts w:hint="eastAsia" w:ascii="仿宋_GB2312" w:hAnsi="仿宋_GB2312" w:eastAsia="仿宋_GB2312" w:cs="仿宋_GB2312"/>
          <w:b w:val="0"/>
          <w:bCs w:val="0"/>
          <w:sz w:val="32"/>
          <w:szCs w:val="32"/>
          <w:lang w:val="en-US" w:eastAsia="zh-CN"/>
        </w:rPr>
        <w:t>位</w:t>
      </w:r>
      <w:r>
        <w:rPr>
          <w:rFonts w:hint="eastAsia" w:ascii="仿宋_GB2312" w:hAnsi="仿宋_GB2312" w:eastAsia="仿宋_GB2312" w:cs="仿宋_GB2312"/>
          <w:b w:val="0"/>
          <w:bCs w:val="0"/>
          <w:sz w:val="32"/>
          <w:szCs w:val="32"/>
        </w:rPr>
        <w:t>于鄂托克前旗昂素镇玛拉迪嘎查</w:t>
      </w:r>
      <w:r>
        <w:rPr>
          <w:rFonts w:hint="eastAsia" w:ascii="仿宋_GB2312" w:hAnsi="仿宋_GB2312" w:eastAsia="仿宋_GB2312" w:cs="仿宋_GB2312"/>
          <w:b w:val="0"/>
          <w:bCs w:val="0"/>
          <w:sz w:val="32"/>
          <w:szCs w:val="32"/>
          <w:lang w:eastAsia="zh-CN"/>
        </w:rPr>
        <w:t>。《鄂托克前旗玛拉迪嘉禾天华环保制砖厂年产</w:t>
      </w:r>
      <w:r>
        <w:rPr>
          <w:rFonts w:hint="eastAsia" w:ascii="仿宋_GB2312" w:hAnsi="仿宋_GB2312" w:eastAsia="仿宋_GB2312" w:cs="仿宋_GB2312"/>
          <w:b w:val="0"/>
          <w:bCs w:val="0"/>
          <w:sz w:val="32"/>
          <w:szCs w:val="32"/>
          <w:lang w:val="en-US" w:eastAsia="zh-CN"/>
        </w:rPr>
        <w:t>6000</w:t>
      </w:r>
      <w:r>
        <w:rPr>
          <w:rFonts w:hint="eastAsia" w:ascii="仿宋_GB2312" w:hAnsi="仿宋_GB2312" w:eastAsia="仿宋_GB2312" w:cs="仿宋_GB2312"/>
          <w:b w:val="0"/>
          <w:bCs w:val="0"/>
          <w:sz w:val="32"/>
          <w:szCs w:val="32"/>
          <w:lang w:eastAsia="zh-CN"/>
        </w:rPr>
        <w:t>万块空心烧结砖（折标砖</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亿块）项目</w:t>
      </w:r>
      <w:r>
        <w:rPr>
          <w:rFonts w:hint="eastAsia" w:ascii="仿宋_GB2312" w:hAnsi="仿宋_GB2312" w:eastAsia="仿宋_GB2312" w:cs="仿宋_GB2312"/>
          <w:b w:val="0"/>
          <w:bCs w:val="0"/>
          <w:sz w:val="32"/>
          <w:szCs w:val="32"/>
          <w:lang w:val="en-US" w:eastAsia="zh-CN"/>
        </w:rPr>
        <w:t>环境影响报告表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于2020年1月由鄂尔多斯市生态环境局进行了批复（</w:t>
      </w:r>
      <w:r>
        <w:rPr>
          <w:rFonts w:hint="eastAsia" w:ascii="仿宋_GB2312" w:eastAsia="仿宋_GB2312"/>
          <w:sz w:val="32"/>
          <w:szCs w:val="32"/>
        </w:rPr>
        <w:t>鄂环</w:t>
      </w:r>
      <w:r>
        <w:rPr>
          <w:rFonts w:hint="eastAsia" w:ascii="仿宋_GB2312" w:eastAsia="仿宋_GB2312"/>
          <w:sz w:val="32"/>
          <w:szCs w:val="32"/>
          <w:lang w:val="en-US" w:eastAsia="zh-CN"/>
        </w:rPr>
        <w:t>审</w:t>
      </w:r>
      <w:r>
        <w:rPr>
          <w:rFonts w:hint="eastAsia" w:ascii="仿宋_GB2312" w:eastAsia="仿宋_GB2312"/>
          <w:sz w:val="32"/>
          <w:szCs w:val="32"/>
        </w:rPr>
        <w:t>字〔</w:t>
      </w:r>
      <w:r>
        <w:rPr>
          <w:rFonts w:hint="eastAsia" w:ascii="仿宋_GB2312" w:eastAsia="仿宋_GB2312"/>
          <w:sz w:val="32"/>
          <w:szCs w:val="32"/>
          <w:lang w:val="en-US" w:eastAsia="zh-CN"/>
        </w:rPr>
        <w:t>2020</w:t>
      </w:r>
      <w:r>
        <w:rPr>
          <w:rFonts w:hint="eastAsia" w:ascii="仿宋_GB2312" w:eastAsia="仿宋_GB2312"/>
          <w:sz w:val="32"/>
          <w:szCs w:val="32"/>
        </w:rPr>
        <w:t>〕</w:t>
      </w:r>
      <w:r>
        <w:rPr>
          <w:rFonts w:hint="eastAsia" w:ascii="仿宋_GB2312" w:eastAsia="仿宋_GB2312"/>
          <w:sz w:val="32"/>
          <w:szCs w:val="32"/>
          <w:lang w:val="en-US" w:eastAsia="zh-CN"/>
        </w:rPr>
        <w:t>19</w:t>
      </w:r>
      <w:r>
        <w:rPr>
          <w:rFonts w:hint="eastAsia" w:ascii="仿宋_GB2312" w:eastAsia="仿宋_GB2312"/>
          <w:sz w:val="32"/>
          <w:szCs w:val="32"/>
        </w:rPr>
        <w:t>号</w:t>
      </w:r>
      <w:r>
        <w:rPr>
          <w:rFonts w:hint="eastAsia" w:ascii="仿宋_GB2312" w:hAnsi="仿宋_GB2312" w:eastAsia="仿宋_GB2312" w:cs="仿宋_GB2312"/>
          <w:b w:val="0"/>
          <w:bCs w:val="0"/>
          <w:sz w:val="32"/>
          <w:szCs w:val="32"/>
          <w:lang w:val="en-US" w:eastAsia="zh-CN"/>
        </w:rPr>
        <w:t>）；2020年11月该项目完成了竣工环境保护自主验收。</w:t>
      </w:r>
      <w:r>
        <w:rPr>
          <w:rFonts w:hint="eastAsia" w:ascii="仿宋_GB2312" w:hAnsi="仿宋_GB2312" w:eastAsia="仿宋_GB2312" w:cs="仿宋_GB2312"/>
          <w:b w:val="0"/>
          <w:bCs w:val="0"/>
          <w:sz w:val="32"/>
          <w:szCs w:val="32"/>
          <w:lang w:eastAsia="zh-CN"/>
        </w:rPr>
        <w:t>《鄂托克前旗玛拉迪嘉禾天华环保制砖厂年产</w:t>
      </w:r>
      <w:r>
        <w:rPr>
          <w:rFonts w:hint="eastAsia" w:ascii="仿宋_GB2312" w:hAnsi="仿宋_GB2312" w:eastAsia="仿宋_GB2312" w:cs="仿宋_GB2312"/>
          <w:b w:val="0"/>
          <w:bCs w:val="0"/>
          <w:sz w:val="32"/>
          <w:szCs w:val="32"/>
          <w:lang w:val="en-US" w:eastAsia="zh-CN"/>
        </w:rPr>
        <w:t>6000</w:t>
      </w:r>
      <w:r>
        <w:rPr>
          <w:rFonts w:hint="eastAsia" w:ascii="仿宋_GB2312" w:hAnsi="仿宋_GB2312" w:eastAsia="仿宋_GB2312" w:cs="仿宋_GB2312"/>
          <w:b w:val="0"/>
          <w:bCs w:val="0"/>
          <w:sz w:val="32"/>
          <w:szCs w:val="32"/>
          <w:lang w:eastAsia="zh-CN"/>
        </w:rPr>
        <w:t>万块空心烧结砖（折标砖</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亿块）</w:t>
      </w:r>
      <w:r>
        <w:rPr>
          <w:rFonts w:hint="eastAsia" w:ascii="仿宋_GB2312" w:hAnsi="仿宋_GB2312" w:eastAsia="仿宋_GB2312" w:cs="仿宋_GB2312"/>
          <w:b w:val="0"/>
          <w:bCs w:val="0"/>
          <w:sz w:val="32"/>
          <w:szCs w:val="32"/>
          <w:lang w:val="en-US" w:eastAsia="zh-CN"/>
        </w:rPr>
        <w:t>改扩建</w:t>
      </w:r>
      <w:r>
        <w:rPr>
          <w:rFonts w:hint="eastAsia" w:ascii="仿宋_GB2312" w:hAnsi="仿宋_GB2312" w:eastAsia="仿宋_GB2312" w:cs="仿宋_GB2312"/>
          <w:b w:val="0"/>
          <w:bCs w:val="0"/>
          <w:sz w:val="32"/>
          <w:szCs w:val="32"/>
          <w:lang w:eastAsia="zh-CN"/>
        </w:rPr>
        <w:t>项目</w:t>
      </w:r>
      <w:r>
        <w:rPr>
          <w:rFonts w:hint="eastAsia" w:ascii="仿宋_GB2312" w:hAnsi="仿宋_GB2312" w:eastAsia="仿宋_GB2312" w:cs="仿宋_GB2312"/>
          <w:b w:val="0"/>
          <w:bCs w:val="0"/>
          <w:sz w:val="32"/>
          <w:szCs w:val="32"/>
          <w:lang w:val="en-US" w:eastAsia="zh-CN"/>
        </w:rPr>
        <w:t>环境影响报告表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于2021年8月由鄂尔多斯市生态环境局进行了批复（</w:t>
      </w:r>
      <w:r>
        <w:rPr>
          <w:rFonts w:hint="eastAsia" w:ascii="仿宋_GB2312" w:eastAsia="仿宋_GB2312"/>
          <w:sz w:val="32"/>
          <w:szCs w:val="32"/>
        </w:rPr>
        <w:t>鄂环</w:t>
      </w:r>
      <w:r>
        <w:rPr>
          <w:rFonts w:hint="eastAsia" w:ascii="仿宋_GB2312" w:eastAsia="仿宋_GB2312"/>
          <w:sz w:val="32"/>
          <w:szCs w:val="32"/>
          <w:lang w:val="en-US" w:eastAsia="zh-CN"/>
        </w:rPr>
        <w:t>审</w:t>
      </w:r>
      <w:r>
        <w:rPr>
          <w:rFonts w:hint="eastAsia" w:ascii="仿宋_GB2312" w:eastAsia="仿宋_GB2312"/>
          <w:sz w:val="32"/>
          <w:szCs w:val="32"/>
        </w:rPr>
        <w:t>字〔</w:t>
      </w:r>
      <w:r>
        <w:rPr>
          <w:rFonts w:hint="eastAsia" w:ascii="仿宋_GB2312" w:eastAsia="仿宋_GB2312"/>
          <w:sz w:val="32"/>
          <w:szCs w:val="32"/>
          <w:lang w:val="en-US" w:eastAsia="zh-CN"/>
        </w:rPr>
        <w:t>2021</w:t>
      </w:r>
      <w:r>
        <w:rPr>
          <w:rFonts w:hint="eastAsia" w:ascii="仿宋_GB2312" w:eastAsia="仿宋_GB2312"/>
          <w:sz w:val="32"/>
          <w:szCs w:val="32"/>
        </w:rPr>
        <w:t>〕</w:t>
      </w:r>
      <w:r>
        <w:rPr>
          <w:rFonts w:hint="eastAsia" w:ascii="仿宋_GB2312" w:eastAsia="仿宋_GB2312"/>
          <w:sz w:val="32"/>
          <w:szCs w:val="32"/>
          <w:lang w:val="en-US" w:eastAsia="zh-CN"/>
        </w:rPr>
        <w:t>597</w:t>
      </w:r>
      <w:r>
        <w:rPr>
          <w:rFonts w:hint="eastAsia" w:ascii="仿宋_GB2312" w:eastAsia="仿宋_GB2312"/>
          <w:sz w:val="32"/>
          <w:szCs w:val="32"/>
        </w:rPr>
        <w:t>号</w:t>
      </w:r>
      <w:r>
        <w:rPr>
          <w:rFonts w:hint="eastAsia" w:ascii="仿宋_GB2312" w:hAnsi="仿宋_GB2312" w:eastAsia="仿宋_GB2312" w:cs="仿宋_GB2312"/>
          <w:b w:val="0"/>
          <w:bCs w:val="0"/>
          <w:sz w:val="32"/>
          <w:szCs w:val="32"/>
          <w:lang w:val="en-US" w:eastAsia="zh-CN"/>
        </w:rPr>
        <w:t>）；2021年12月完成了改扩建项目竣工环境保护自主验收。本次技术改造内容为：</w:t>
      </w:r>
      <w:r>
        <w:rPr>
          <w:rFonts w:hint="eastAsia" w:ascii="仿宋_GB2312" w:hAnsi="仿宋_GB2312" w:eastAsia="仿宋_GB2312" w:cs="仿宋_GB2312"/>
          <w:b w:val="0"/>
          <w:bCs w:val="0"/>
          <w:sz w:val="32"/>
          <w:szCs w:val="32"/>
        </w:rPr>
        <w:t>将</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rPr>
        <w:t>原料中钻井岩屑和煤矸石的配比由41:9变为3：2，原料配比中增加煤矸石的含量，调整后的砖坯重量为2.8kg/块-标砖，含水率为28%；扩大岩屑储棚和煤矸石储棚的建筑面积</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本项目技改前后生产规模不变，环保措施不变。项目总投资</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00万元，其中环保投资</w:t>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万元，占总投资的</w:t>
      </w:r>
      <w:r>
        <w:rPr>
          <w:rFonts w:hint="eastAsia" w:ascii="仿宋_GB2312" w:hAnsi="仿宋_GB2312" w:eastAsia="仿宋_GB2312" w:cs="仿宋_GB2312"/>
          <w:b w:val="0"/>
          <w:bCs w:val="0"/>
          <w:sz w:val="32"/>
          <w:szCs w:val="32"/>
          <w:lang w:val="en-US" w:eastAsia="zh-CN"/>
        </w:rPr>
        <w:t>1.5</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w:t>
      </w:r>
      <w:r>
        <w:rPr>
          <w:rFonts w:hint="eastAsia" w:ascii="仿宋_GB2312" w:hAnsi="仿宋_GB2312" w:eastAsia="仿宋_GB2312" w:cs="仿宋_GB2312"/>
          <w:b w:val="0"/>
          <w:bCs w:val="0"/>
          <w:sz w:val="32"/>
          <w:szCs w:val="32"/>
          <w:lang w:val="en-US" w:eastAsia="zh-CN"/>
        </w:rPr>
        <w:t>环境保护措施</w:t>
      </w:r>
      <w:r>
        <w:rPr>
          <w:rFonts w:hint="eastAsia" w:ascii="仿宋_GB2312" w:hAnsi="仿宋_GB2312" w:eastAsia="仿宋_GB2312" w:cs="仿宋_GB2312"/>
          <w:b w:val="0"/>
          <w:bCs w:val="0"/>
          <w:sz w:val="32"/>
          <w:szCs w:val="32"/>
        </w:rPr>
        <w:t>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sz w:val="32"/>
          <w:szCs w:val="32"/>
          <w:highlight w:val="none"/>
          <w:lang w:eastAsia="zh-CN"/>
        </w:rPr>
        <w:t>项目建设与运行管理中应</w:t>
      </w:r>
      <w:r>
        <w:rPr>
          <w:rFonts w:hint="eastAsia" w:ascii="仿宋_GB2312" w:hAnsi="仿宋_GB2312" w:eastAsia="仿宋_GB2312" w:cs="仿宋_GB2312"/>
          <w:b w:val="0"/>
          <w:bCs w:val="0"/>
          <w:sz w:val="32"/>
          <w:szCs w:val="32"/>
          <w:highlight w:val="none"/>
        </w:rPr>
        <w:t>重点做好</w:t>
      </w:r>
      <w:r>
        <w:rPr>
          <w:rFonts w:hint="eastAsia" w:ascii="仿宋_GB2312" w:hAnsi="仿宋_GB2312" w:eastAsia="仿宋_GB2312" w:cs="仿宋_GB2312"/>
          <w:b w:val="0"/>
          <w:bCs w:val="0"/>
          <w:sz w:val="32"/>
          <w:szCs w:val="32"/>
          <w:highlight w:val="none"/>
          <w:lang w:eastAsia="zh-CN"/>
        </w:rPr>
        <w:t>的</w:t>
      </w:r>
      <w:r>
        <w:rPr>
          <w:rFonts w:hint="eastAsia" w:ascii="仿宋_GB2312" w:hAnsi="仿宋_GB2312" w:eastAsia="仿宋_GB2312" w:cs="仿宋_GB2312"/>
          <w:b w:val="0"/>
          <w:bCs w:val="0"/>
          <w:sz w:val="32"/>
          <w:szCs w:val="32"/>
          <w:highlight w:val="none"/>
        </w:rPr>
        <w:t>工作</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1、加强施工期环境管理。应严格按照设计要求施工，并及时采取洒水降尘等措施，减少裸露土地面积和扬尘。定期对运输道路进行洒水，</w:t>
      </w:r>
      <w:bookmarkStart w:id="0" w:name="_GoBack"/>
      <w:bookmarkEnd w:id="0"/>
      <w:r>
        <w:rPr>
          <w:rFonts w:hint="eastAsia" w:ascii="仿宋_GB2312" w:hAnsi="仿宋_GB2312" w:eastAsia="仿宋_GB2312" w:cs="仿宋_GB2312"/>
          <w:b w:val="0"/>
          <w:bCs w:val="0"/>
          <w:sz w:val="32"/>
          <w:szCs w:val="32"/>
          <w:lang w:val="en-US" w:eastAsia="zh-CN"/>
        </w:rPr>
        <w:t>并加强车辆运输的密闭管理。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2、落实废气污染防治措施。原料储存、装卸于全封闭原料棚内，</w:t>
      </w:r>
      <w:r>
        <w:rPr>
          <w:rFonts w:hint="eastAsia" w:ascii="仿宋_GB2312" w:hAnsi="仿宋_GB2312" w:eastAsia="仿宋_GB2312" w:cs="仿宋_GB2312"/>
          <w:b w:val="0"/>
          <w:bCs w:val="0"/>
          <w:sz w:val="32"/>
          <w:szCs w:val="32"/>
        </w:rPr>
        <w:t>煤矸石</w:t>
      </w:r>
      <w:r>
        <w:rPr>
          <w:rFonts w:hint="eastAsia" w:ascii="仿宋_GB2312" w:hAnsi="仿宋_GB2312" w:eastAsia="仿宋_GB2312" w:cs="仿宋_GB2312"/>
          <w:b w:val="0"/>
          <w:bCs w:val="0"/>
          <w:sz w:val="32"/>
          <w:szCs w:val="32"/>
          <w:lang w:val="en-US" w:eastAsia="zh-CN"/>
        </w:rPr>
        <w:t>储棚同时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采取洒水抑尘措施；隧道干燥窑烟气经管束除尘器+钠钙双碱法脱硫进行处理后，废气排放须满足《砖瓦工业大气污染物排放标准》（GB29620-2013）限值要求；加强运营期管理，确保无组织废气排放满足相关标准限值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落实废水污染防治措施。脱硫废水集中收集后交由有资质单位进行处置，不得外排；生活污水经化粪池处理后定期运至附近污水处理厂处理，不得外排</w:t>
      </w:r>
      <w:r>
        <w:rPr>
          <w:rFonts w:hint="eastAsia" w:ascii="仿宋_GB2312" w:hAnsi="仿宋_GB2312" w:eastAsia="仿宋_GB2312" w:cs="仿宋_GB2312"/>
          <w:b w:val="0"/>
          <w:bCs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落实噪声污染防治措施。采取有效的减震、隔声、消声等措施后，确保厂界噪声满足《工业企业厂界环境噪声排放标准》（GB12348-2008）2类标准限值要求。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妥善处置各类固体废弃物。除尘灰及脱硫渣经收集后当做制砖原料处理；废砖坯产生后直接敲碎混入陈化料搅拌后重新制砖；不合格品返回至破碎工序回用于生产。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制定完善的环境风险应急预案，落实环境风险事故防范措施，提高事故风险防范和污染控制能力</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602" w:tblpY="2601"/>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19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abstractNum w:abstractNumId="1">
    <w:nsid w:val="2C28288E"/>
    <w:multiLevelType w:val="singleLevel"/>
    <w:tmpl w:val="2C28288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4F2214"/>
    <w:rsid w:val="01365766"/>
    <w:rsid w:val="01E8026D"/>
    <w:rsid w:val="020F76D1"/>
    <w:rsid w:val="02416FE3"/>
    <w:rsid w:val="02586219"/>
    <w:rsid w:val="029021DB"/>
    <w:rsid w:val="030E2A71"/>
    <w:rsid w:val="03CE73C1"/>
    <w:rsid w:val="042633AF"/>
    <w:rsid w:val="045C7494"/>
    <w:rsid w:val="046935BE"/>
    <w:rsid w:val="04A83C7C"/>
    <w:rsid w:val="05455673"/>
    <w:rsid w:val="05A84572"/>
    <w:rsid w:val="05EB3B5E"/>
    <w:rsid w:val="06293230"/>
    <w:rsid w:val="07B40FAC"/>
    <w:rsid w:val="085B73A8"/>
    <w:rsid w:val="08716E9D"/>
    <w:rsid w:val="09680FFD"/>
    <w:rsid w:val="097E7A96"/>
    <w:rsid w:val="0A8533BF"/>
    <w:rsid w:val="0A963457"/>
    <w:rsid w:val="0BFD15CD"/>
    <w:rsid w:val="0C832F9D"/>
    <w:rsid w:val="0C871385"/>
    <w:rsid w:val="0CF63E15"/>
    <w:rsid w:val="0DCD1055"/>
    <w:rsid w:val="0DEC1CEE"/>
    <w:rsid w:val="0E7D4E26"/>
    <w:rsid w:val="0ED105F3"/>
    <w:rsid w:val="0F326990"/>
    <w:rsid w:val="0F800043"/>
    <w:rsid w:val="0FFE65CF"/>
    <w:rsid w:val="10E7210E"/>
    <w:rsid w:val="1160668B"/>
    <w:rsid w:val="126F5E17"/>
    <w:rsid w:val="12DD4C6B"/>
    <w:rsid w:val="13C253D7"/>
    <w:rsid w:val="13D604FC"/>
    <w:rsid w:val="153043A6"/>
    <w:rsid w:val="1532440A"/>
    <w:rsid w:val="16AB6934"/>
    <w:rsid w:val="16DC7511"/>
    <w:rsid w:val="16F5338F"/>
    <w:rsid w:val="17463BEB"/>
    <w:rsid w:val="17BB743F"/>
    <w:rsid w:val="1800154B"/>
    <w:rsid w:val="183E0E52"/>
    <w:rsid w:val="187D7217"/>
    <w:rsid w:val="19A52D79"/>
    <w:rsid w:val="1AB84513"/>
    <w:rsid w:val="1B3A0F19"/>
    <w:rsid w:val="1BBA312A"/>
    <w:rsid w:val="1C0527D0"/>
    <w:rsid w:val="1C456101"/>
    <w:rsid w:val="1CFB21F8"/>
    <w:rsid w:val="1D2B3163"/>
    <w:rsid w:val="1DC358B8"/>
    <w:rsid w:val="1DD16AD5"/>
    <w:rsid w:val="1DD73546"/>
    <w:rsid w:val="201447CA"/>
    <w:rsid w:val="209133F4"/>
    <w:rsid w:val="20920682"/>
    <w:rsid w:val="2133507B"/>
    <w:rsid w:val="21CA7725"/>
    <w:rsid w:val="22883A2C"/>
    <w:rsid w:val="23601B63"/>
    <w:rsid w:val="24197FBD"/>
    <w:rsid w:val="24280900"/>
    <w:rsid w:val="243407C8"/>
    <w:rsid w:val="25936293"/>
    <w:rsid w:val="25AD54A2"/>
    <w:rsid w:val="26414C9A"/>
    <w:rsid w:val="2677791D"/>
    <w:rsid w:val="27941D44"/>
    <w:rsid w:val="27D33999"/>
    <w:rsid w:val="28812B64"/>
    <w:rsid w:val="2B182F87"/>
    <w:rsid w:val="2BE677DE"/>
    <w:rsid w:val="2C0B272C"/>
    <w:rsid w:val="2C8F0800"/>
    <w:rsid w:val="2D13164D"/>
    <w:rsid w:val="2D3220F3"/>
    <w:rsid w:val="2D364384"/>
    <w:rsid w:val="2DB22541"/>
    <w:rsid w:val="2E05114C"/>
    <w:rsid w:val="2E327A01"/>
    <w:rsid w:val="303033B7"/>
    <w:rsid w:val="30341CA9"/>
    <w:rsid w:val="307921FD"/>
    <w:rsid w:val="314762A3"/>
    <w:rsid w:val="31B41641"/>
    <w:rsid w:val="31E46A1B"/>
    <w:rsid w:val="327918E4"/>
    <w:rsid w:val="32992418"/>
    <w:rsid w:val="32B1065A"/>
    <w:rsid w:val="32D320A3"/>
    <w:rsid w:val="33DB0411"/>
    <w:rsid w:val="33F7209D"/>
    <w:rsid w:val="36B6463D"/>
    <w:rsid w:val="37C63D34"/>
    <w:rsid w:val="37E63B33"/>
    <w:rsid w:val="37F90FA0"/>
    <w:rsid w:val="382020C3"/>
    <w:rsid w:val="389E2A00"/>
    <w:rsid w:val="398A03E4"/>
    <w:rsid w:val="3B10016E"/>
    <w:rsid w:val="3B5B611B"/>
    <w:rsid w:val="3C0B7B85"/>
    <w:rsid w:val="3C945435"/>
    <w:rsid w:val="3CAD0B5D"/>
    <w:rsid w:val="3D2346BE"/>
    <w:rsid w:val="3D6959DB"/>
    <w:rsid w:val="3D7309E6"/>
    <w:rsid w:val="3DC612B6"/>
    <w:rsid w:val="3DCB0822"/>
    <w:rsid w:val="3E593D44"/>
    <w:rsid w:val="3E774506"/>
    <w:rsid w:val="3F7943B3"/>
    <w:rsid w:val="40957CAC"/>
    <w:rsid w:val="421037EC"/>
    <w:rsid w:val="435A7802"/>
    <w:rsid w:val="438551FF"/>
    <w:rsid w:val="441135E0"/>
    <w:rsid w:val="44292184"/>
    <w:rsid w:val="44C766B3"/>
    <w:rsid w:val="45032468"/>
    <w:rsid w:val="45804310"/>
    <w:rsid w:val="45E96615"/>
    <w:rsid w:val="463F1BA2"/>
    <w:rsid w:val="469E06E9"/>
    <w:rsid w:val="46B502C1"/>
    <w:rsid w:val="46FF32EA"/>
    <w:rsid w:val="47250996"/>
    <w:rsid w:val="477261B2"/>
    <w:rsid w:val="47835CCA"/>
    <w:rsid w:val="47AD5E81"/>
    <w:rsid w:val="48AB77EB"/>
    <w:rsid w:val="490F2022"/>
    <w:rsid w:val="492D1028"/>
    <w:rsid w:val="4977377A"/>
    <w:rsid w:val="49971591"/>
    <w:rsid w:val="49D74599"/>
    <w:rsid w:val="4A046671"/>
    <w:rsid w:val="4A214813"/>
    <w:rsid w:val="4B172583"/>
    <w:rsid w:val="4BB774B2"/>
    <w:rsid w:val="4C4D3E7A"/>
    <w:rsid w:val="4C6C1903"/>
    <w:rsid w:val="4C7607B0"/>
    <w:rsid w:val="4C7D5BF9"/>
    <w:rsid w:val="4D0E26EE"/>
    <w:rsid w:val="4E170043"/>
    <w:rsid w:val="4E593BB5"/>
    <w:rsid w:val="4E654609"/>
    <w:rsid w:val="4F4637A5"/>
    <w:rsid w:val="4FBC621D"/>
    <w:rsid w:val="4FC40DF6"/>
    <w:rsid w:val="50002B2E"/>
    <w:rsid w:val="504D1985"/>
    <w:rsid w:val="506622ED"/>
    <w:rsid w:val="50FB0FC7"/>
    <w:rsid w:val="51C82C96"/>
    <w:rsid w:val="52E16484"/>
    <w:rsid w:val="532A0D5D"/>
    <w:rsid w:val="53C41577"/>
    <w:rsid w:val="54032EA0"/>
    <w:rsid w:val="54B75D13"/>
    <w:rsid w:val="555B64D8"/>
    <w:rsid w:val="555F3542"/>
    <w:rsid w:val="55EA012D"/>
    <w:rsid w:val="55EC35D4"/>
    <w:rsid w:val="56C74A68"/>
    <w:rsid w:val="5714693E"/>
    <w:rsid w:val="57243C16"/>
    <w:rsid w:val="574F2C52"/>
    <w:rsid w:val="575552A4"/>
    <w:rsid w:val="57930117"/>
    <w:rsid w:val="57E07054"/>
    <w:rsid w:val="58147356"/>
    <w:rsid w:val="589C45D1"/>
    <w:rsid w:val="58C919AA"/>
    <w:rsid w:val="5A19409B"/>
    <w:rsid w:val="5BCB6837"/>
    <w:rsid w:val="5C09794B"/>
    <w:rsid w:val="5C2356CF"/>
    <w:rsid w:val="5C3E49F7"/>
    <w:rsid w:val="5C605DDE"/>
    <w:rsid w:val="5CFC3B75"/>
    <w:rsid w:val="5D0B7780"/>
    <w:rsid w:val="5D543938"/>
    <w:rsid w:val="5DD952F7"/>
    <w:rsid w:val="5E4D4B33"/>
    <w:rsid w:val="5E747311"/>
    <w:rsid w:val="5F5943A7"/>
    <w:rsid w:val="5FD87942"/>
    <w:rsid w:val="60421B63"/>
    <w:rsid w:val="60B30D11"/>
    <w:rsid w:val="60C360BC"/>
    <w:rsid w:val="60FD1318"/>
    <w:rsid w:val="61F84590"/>
    <w:rsid w:val="62700749"/>
    <w:rsid w:val="638C77B1"/>
    <w:rsid w:val="63B83629"/>
    <w:rsid w:val="65012146"/>
    <w:rsid w:val="65687ADE"/>
    <w:rsid w:val="65E757C0"/>
    <w:rsid w:val="67FA53F6"/>
    <w:rsid w:val="68F14127"/>
    <w:rsid w:val="696C04C3"/>
    <w:rsid w:val="699C2C89"/>
    <w:rsid w:val="69A20335"/>
    <w:rsid w:val="6B7D4D35"/>
    <w:rsid w:val="6C642632"/>
    <w:rsid w:val="6C691BD8"/>
    <w:rsid w:val="6D2C27DC"/>
    <w:rsid w:val="6DD2469D"/>
    <w:rsid w:val="6E7E1C89"/>
    <w:rsid w:val="6E9E3E26"/>
    <w:rsid w:val="6F8A0689"/>
    <w:rsid w:val="6FF15BC1"/>
    <w:rsid w:val="6FF53544"/>
    <w:rsid w:val="710F55E5"/>
    <w:rsid w:val="71DB20DB"/>
    <w:rsid w:val="72140190"/>
    <w:rsid w:val="721F0C9A"/>
    <w:rsid w:val="726C3C18"/>
    <w:rsid w:val="727442DD"/>
    <w:rsid w:val="72DC7DE4"/>
    <w:rsid w:val="73347A19"/>
    <w:rsid w:val="73483BC3"/>
    <w:rsid w:val="74031DBD"/>
    <w:rsid w:val="74116A8A"/>
    <w:rsid w:val="74B25FB0"/>
    <w:rsid w:val="756D0FD9"/>
    <w:rsid w:val="762C4582"/>
    <w:rsid w:val="7706409E"/>
    <w:rsid w:val="77A06F50"/>
    <w:rsid w:val="77AE3A43"/>
    <w:rsid w:val="77FD5AF4"/>
    <w:rsid w:val="786F4218"/>
    <w:rsid w:val="78E576E0"/>
    <w:rsid w:val="78EE303B"/>
    <w:rsid w:val="79634F3A"/>
    <w:rsid w:val="79A36AC1"/>
    <w:rsid w:val="7A195E96"/>
    <w:rsid w:val="7A794B87"/>
    <w:rsid w:val="7B607AF4"/>
    <w:rsid w:val="7C48648F"/>
    <w:rsid w:val="7C4D62CB"/>
    <w:rsid w:val="7CDB4D0A"/>
    <w:rsid w:val="7E752AA6"/>
    <w:rsid w:val="7F323556"/>
    <w:rsid w:val="7F537D69"/>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1435</Words>
  <Characters>1519</Characters>
  <Lines>0</Lines>
  <Paragraphs>0</Paragraphs>
  <TotalTime>0</TotalTime>
  <ScaleCrop>false</ScaleCrop>
  <LinksUpToDate>false</LinksUpToDate>
  <CharactersWithSpaces>1550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2023-07-16T05:41:40Z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