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2023</w:t>
      </w:r>
      <w:r>
        <w:rPr>
          <w:rFonts w:hint="eastAsia" w:ascii="楷体" w:hAnsi="楷体" w:eastAsia="楷体" w:cs="楷体"/>
          <w:sz w:val="32"/>
          <w:szCs w:val="32"/>
        </w:rPr>
        <w:t>〕</w:t>
      </w:r>
      <w:r>
        <w:rPr>
          <w:rFonts w:hint="eastAsia" w:ascii="楷体" w:hAnsi="楷体" w:eastAsia="楷体" w:cs="楷体"/>
          <w:sz w:val="32"/>
          <w:szCs w:val="32"/>
          <w:lang w:val="en-US" w:eastAsia="zh-CN"/>
        </w:rPr>
        <w:t>3</w:t>
      </w:r>
      <w:r>
        <w:rPr>
          <w:rFonts w:hint="eastAsia" w:ascii="楷体" w:hAnsi="楷体" w:eastAsia="楷体" w:cs="楷体"/>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长宁线</w:t>
      </w:r>
      <w:r>
        <w:rPr>
          <w:rFonts w:hint="eastAsia" w:ascii="方正小标宋简体" w:eastAsia="方正小标宋简体"/>
          <w:sz w:val="44"/>
          <w:szCs w:val="44"/>
          <w:lang w:val="en-US" w:eastAsia="zh-CN"/>
        </w:rPr>
        <w:t>2</w:t>
      </w:r>
      <w:r>
        <w:rPr>
          <w:rFonts w:hint="eastAsia" w:ascii="方正小标宋简体" w:eastAsia="方正小标宋简体"/>
          <w:sz w:val="44"/>
          <w:szCs w:val="44"/>
        </w:rPr>
        <w:t>号阀室为内蒙古鄂托克前旗时泰</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天然气经营有限责任公司新增下载点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项目环境影响报告</w:t>
      </w:r>
      <w:r>
        <w:rPr>
          <w:rFonts w:hint="eastAsia" w:ascii="方正小标宋简体" w:eastAsia="方正小标宋简体"/>
          <w:sz w:val="44"/>
          <w:szCs w:val="44"/>
          <w:lang w:val="en-US" w:eastAsia="zh-CN"/>
        </w:rPr>
        <w:t>表</w:t>
      </w:r>
      <w:r>
        <w:rPr>
          <w:rFonts w:hint="eastAsia" w:ascii="方正小标宋简体" w:eastAsia="方正小标宋简体"/>
          <w:sz w:val="44"/>
          <w:szCs w:val="44"/>
        </w:rPr>
        <w:t>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国家管网集团联合管道有限责任公司西气东输分公司：</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你公司报送的由宁夏石油化工环境科学研究院股份有限公司编制的《长宁线 2 号阀室为内蒙古鄂托克前旗时泰天然气经营有限责任公司新增下载点项目环境影响报告</w:t>
      </w:r>
      <w:r>
        <w:rPr>
          <w:rFonts w:hint="eastAsia" w:ascii="仿宋_GB2312" w:hAnsi="仿宋_GB2312" w:eastAsia="仿宋_GB2312" w:cs="仿宋_GB2312"/>
          <w:b w:val="0"/>
          <w:bCs w:val="0"/>
          <w:sz w:val="32"/>
          <w:szCs w:val="32"/>
          <w:lang w:val="en-US" w:eastAsia="zh-CN"/>
        </w:rPr>
        <w:t>表</w:t>
      </w:r>
      <w:r>
        <w:rPr>
          <w:rFonts w:hint="eastAsia" w:ascii="仿宋_GB2312" w:hAnsi="仿宋_GB2312" w:eastAsia="仿宋_GB2312" w:cs="仿宋_GB2312"/>
          <w:b w:val="0"/>
          <w:bCs w:val="0"/>
          <w:sz w:val="32"/>
          <w:szCs w:val="32"/>
        </w:rPr>
        <w:t>》（以下简称《报告</w:t>
      </w:r>
      <w:r>
        <w:rPr>
          <w:rFonts w:hint="eastAsia" w:ascii="仿宋_GB2312" w:hAnsi="仿宋_GB2312" w:eastAsia="仿宋_GB2312" w:cs="仿宋_GB2312"/>
          <w:b w:val="0"/>
          <w:bCs w:val="0"/>
          <w:sz w:val="32"/>
          <w:szCs w:val="32"/>
          <w:lang w:val="en-US" w:eastAsia="zh-CN"/>
        </w:rPr>
        <w:t>表</w:t>
      </w:r>
      <w:r>
        <w:rPr>
          <w:rFonts w:hint="eastAsia" w:ascii="仿宋_GB2312" w:hAnsi="仿宋_GB2312" w:eastAsia="仿宋_GB2312" w:cs="仿宋_GB2312"/>
          <w:b w:val="0"/>
          <w:bCs w:val="0"/>
          <w:sz w:val="32"/>
          <w:szCs w:val="32"/>
        </w:rPr>
        <w:t>》）已收悉。经审查，现批复如下：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eastAsia="仿宋_GB2312"/>
          <w:highlight w:val="red"/>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一、本</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w:t>
      </w:r>
      <w:r>
        <w:rPr>
          <w:rFonts w:hint="eastAsia" w:ascii="仿宋_GB2312" w:hAnsi="仿宋_GB2312" w:eastAsia="仿宋_GB2312" w:cs="仿宋_GB2312"/>
          <w:b w:val="0"/>
          <w:bCs w:val="0"/>
          <w:color w:val="000000" w:themeColor="text1"/>
          <w:sz w:val="32"/>
          <w:szCs w:val="32"/>
          <w14:textFill>
            <w14:solidFill>
              <w14:schemeClr w14:val="tx1"/>
            </w14:solidFill>
          </w14:textFill>
        </w:rPr>
        <w:t>于鄂托克前旗</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城川镇</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主要建设内容为</w:t>
      </w:r>
      <w:r>
        <w:rPr>
          <w:rFonts w:hint="eastAsia" w:ascii="仿宋_GB2312" w:hAnsi="仿宋_GB2312" w:eastAsia="仿宋_GB2312" w:cs="仿宋_GB2312"/>
          <w:b w:val="0"/>
          <w:bCs w:val="0"/>
          <w:color w:val="000000" w:themeColor="text1"/>
          <w:sz w:val="32"/>
          <w:szCs w:val="32"/>
          <w14:textFill>
            <w14:solidFill>
              <w14:schemeClr w14:val="tx1"/>
            </w14:solidFill>
          </w14:textFill>
        </w:rPr>
        <w:t>将长宁线</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14:textFill>
            <w14:solidFill>
              <w14:schemeClr w14:val="tx1"/>
            </w14:solidFill>
          </w14:textFill>
        </w:rPr>
        <w:t>号阀室改扩建为城川分输站</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站内</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设置</w:t>
      </w:r>
      <w:r>
        <w:rPr>
          <w:rFonts w:hint="eastAsia" w:ascii="仿宋_GB2312" w:hAnsi="仿宋_GB2312" w:eastAsia="仿宋_GB2312" w:cs="仿宋_GB2312"/>
          <w:b w:val="0"/>
          <w:bCs w:val="0"/>
          <w:color w:val="000000" w:themeColor="text1"/>
          <w:sz w:val="32"/>
          <w:szCs w:val="32"/>
          <w14:textFill>
            <w14:solidFill>
              <w14:schemeClr w14:val="tx1"/>
            </w14:solidFill>
          </w14:textFill>
        </w:rPr>
        <w:t>过滤、计量、调压</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等设备及项目配套辅助工程和环保工程</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本项目</w:t>
      </w:r>
      <w:r>
        <w:rPr>
          <w:rFonts w:hint="eastAsia" w:ascii="仿宋_GB2312" w:hAnsi="仿宋_GB2312" w:eastAsia="仿宋_GB2312" w:cs="仿宋_GB2312"/>
          <w:b w:val="0"/>
          <w:bCs w:val="0"/>
          <w:color w:val="000000" w:themeColor="text1"/>
          <w:sz w:val="32"/>
          <w:szCs w:val="32"/>
          <w14:textFill>
            <w14:solidFill>
              <w14:schemeClr w14:val="tx1"/>
            </w14:solidFill>
          </w14:textFill>
        </w:rPr>
        <w:t>设计输气量为1×10</w:t>
      </w:r>
      <w:r>
        <w:rPr>
          <w:rFonts w:hint="eastAsia" w:ascii="仿宋_GB2312" w:hAnsi="仿宋_GB2312" w:eastAsia="仿宋_GB2312" w:cs="仿宋_GB2312"/>
          <w:b w:val="0"/>
          <w:bCs w:val="0"/>
          <w:color w:val="000000" w:themeColor="text1"/>
          <w:sz w:val="32"/>
          <w:szCs w:val="32"/>
          <w:vertAlign w:val="superscript"/>
          <w14:textFill>
            <w14:solidFill>
              <w14:schemeClr w14:val="tx1"/>
            </w14:solidFill>
          </w14:textFill>
        </w:rPr>
        <w:t>8</w:t>
      </w:r>
      <w:r>
        <w:rPr>
          <w:rFonts w:hint="eastAsia" w:ascii="仿宋_GB2312" w:hAnsi="仿宋_GB2312" w:eastAsia="仿宋_GB2312" w:cs="仿宋_GB2312"/>
          <w:b w:val="0"/>
          <w:bCs w:val="0"/>
          <w:color w:val="000000" w:themeColor="text1"/>
          <w:sz w:val="32"/>
          <w:szCs w:val="32"/>
          <w14:textFill>
            <w14:solidFill>
              <w14:schemeClr w14:val="tx1"/>
            </w14:solidFill>
          </w14:textFill>
        </w:rPr>
        <w:t>Nm</w:t>
      </w:r>
      <w:r>
        <w:rPr>
          <w:rFonts w:hint="eastAsia" w:ascii="仿宋_GB2312" w:hAnsi="仿宋_GB2312" w:eastAsia="仿宋_GB2312" w:cs="仿宋_GB2312"/>
          <w:b w:val="0"/>
          <w:bCs w:val="0"/>
          <w:color w:val="000000" w:themeColor="text1"/>
          <w:sz w:val="32"/>
          <w:szCs w:val="32"/>
          <w:vertAlign w:val="superscript"/>
          <w14:textFill>
            <w14:solidFill>
              <w14:schemeClr w14:val="tx1"/>
            </w14:solidFill>
          </w14:textFill>
        </w:rPr>
        <w:t>3</w:t>
      </w:r>
      <w:r>
        <w:rPr>
          <w:rFonts w:hint="eastAsia" w:ascii="仿宋_GB2312" w:hAnsi="仿宋_GB2312" w:eastAsia="仿宋_GB2312" w:cs="仿宋_GB2312"/>
          <w:b w:val="0"/>
          <w:bCs w:val="0"/>
          <w:color w:val="000000" w:themeColor="text1"/>
          <w:sz w:val="32"/>
          <w:szCs w:val="32"/>
          <w14:textFill>
            <w14:solidFill>
              <w14:schemeClr w14:val="tx1"/>
            </w14:solidFill>
          </w14:textFill>
        </w:rPr>
        <w:t>/a</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交付压力2.5</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4.0MPa。</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项目</w:t>
      </w:r>
      <w:r>
        <w:rPr>
          <w:rFonts w:hint="eastAsia" w:ascii="仿宋_GB2312" w:hAnsi="仿宋_GB2312" w:eastAsia="仿宋_GB2312" w:cs="仿宋_GB2312"/>
          <w:b w:val="0"/>
          <w:bCs w:val="0"/>
          <w:color w:val="000000" w:themeColor="text1"/>
          <w:sz w:val="32"/>
          <w:szCs w:val="32"/>
          <w14:textFill>
            <w14:solidFill>
              <w14:schemeClr w14:val="tx1"/>
            </w14:solidFill>
          </w14:textFill>
        </w:rPr>
        <w:t>总投资3002.14万元,其中环保投资150万元</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占总投资的5%</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w:t>
      </w:r>
      <w:r>
        <w:rPr>
          <w:rFonts w:hint="eastAsia" w:ascii="仿宋_GB2312" w:hAnsi="仿宋_GB2312" w:eastAsia="仿宋_GB2312" w:cs="仿宋_GB2312"/>
          <w:b w:val="0"/>
          <w:bCs w:val="0"/>
          <w:sz w:val="32"/>
          <w:szCs w:val="32"/>
          <w:lang w:val="en-US" w:eastAsia="zh-CN"/>
        </w:rPr>
        <w:t>表</w:t>
      </w:r>
      <w:r>
        <w:rPr>
          <w:rFonts w:hint="eastAsia" w:ascii="仿宋_GB2312" w:hAnsi="仿宋_GB2312" w:eastAsia="仿宋_GB2312" w:cs="仿宋_GB2312"/>
          <w:b w:val="0"/>
          <w:bCs w:val="0"/>
          <w:sz w:val="32"/>
          <w:szCs w:val="32"/>
        </w:rPr>
        <w:t>》认为，在全面落实各项生态环境保护和环境污染防治措施的前提下，项目建设对环境的不利影响能够得到一定的缓解和控制。因此，我局原则同意你公司按照《报告</w:t>
      </w:r>
      <w:r>
        <w:rPr>
          <w:rFonts w:hint="eastAsia" w:ascii="仿宋_GB2312" w:hAnsi="仿宋_GB2312" w:eastAsia="仿宋_GB2312" w:cs="仿宋_GB2312"/>
          <w:b w:val="0"/>
          <w:bCs w:val="0"/>
          <w:sz w:val="32"/>
          <w:szCs w:val="32"/>
          <w:lang w:val="en-US" w:eastAsia="zh-CN"/>
        </w:rPr>
        <w:t>表</w:t>
      </w:r>
      <w:r>
        <w:rPr>
          <w:rFonts w:hint="eastAsia" w:ascii="仿宋_GB2312" w:hAnsi="仿宋_GB2312" w:eastAsia="仿宋_GB2312" w:cs="仿宋_GB2312"/>
          <w:b w:val="0"/>
          <w:bCs w:val="0"/>
          <w:sz w:val="32"/>
          <w:szCs w:val="32"/>
        </w:rPr>
        <w:t>》中所列的建设项目性质、规模、地点、环境保护措施进行建设。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项目建设与运行管理中应重点做好的工作</w:t>
      </w:r>
      <w:r>
        <w:rPr>
          <w:rFonts w:hint="eastAsia" w:ascii="仿宋_GB2312" w:hAnsi="仿宋_GB2312" w:eastAsia="仿宋_GB2312" w:cs="仿宋_GB2312"/>
          <w:b w:val="0"/>
          <w:bCs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sz w:val="32"/>
          <w:szCs w:val="32"/>
          <w:lang w:val="en-US" w:eastAsia="zh-CN"/>
        </w:rPr>
        <w:t>落实废气污染防治措施</w:t>
      </w:r>
      <w:r>
        <w:rPr>
          <w:rFonts w:hint="eastAsia" w:ascii="仿宋_GB2312" w:hAnsi="仿宋_GB2312" w:eastAsia="仿宋_GB2312" w:cs="仿宋_GB2312"/>
          <w:b w:val="0"/>
          <w:bCs w:val="0"/>
          <w:sz w:val="32"/>
          <w:szCs w:val="32"/>
          <w:lang w:val="en-US" w:eastAsia="zh-CN"/>
        </w:rPr>
        <w:t>。土方开挖及设备安装过程中严格按照设计要求施工，施工现场采取设置围挡、定期洒水等有效措施控制施工扬尘污染；加强对运输车辆的密闭管理，避免物料洒落、起尘；大风沙尘天气禁止施工。</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color w:val="FF0000"/>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sz w:val="32"/>
          <w:szCs w:val="32"/>
          <w:lang w:val="en-US" w:eastAsia="zh-CN"/>
        </w:rPr>
        <w:t>落实噪声污染防治措施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。施工单位应选用低噪声施工设备，合理安排施工时间，禁止在中午（12：00-14:00）、夜间（22：00至次日6：00）从事高噪声施工作业和物料运输，防止出现噪声扰民现象。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3、妥善处置各类固体废弃物</w:t>
      </w:r>
      <w:r>
        <w:rPr>
          <w:rFonts w:hint="eastAsia" w:ascii="仿宋_GB2312" w:hAnsi="仿宋_GB2312" w:eastAsia="仿宋_GB2312" w:cs="仿宋_GB2312"/>
          <w:sz w:val="32"/>
          <w:szCs w:val="32"/>
          <w:lang w:val="en-US" w:eastAsia="zh-CN"/>
        </w:rPr>
        <w:t>。建设单位应严格按照《危险废物贮存污染控制标准》（GB18597-2001）及 2013年修改单标准要求，对项目运营期产生的危险废物进行安全处置，不得随意丢弃。</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4、落实生态保护措施，防止水土流失风险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。施工结束后及时对临时占地进行生态恢复。建设单位须制定详细的生态植被恢复措施与计划，并安排足够的生态恢复专用资金，确保生态恢复措施落实到位。</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5、强化环境风险防范措施和安全生产措施。制定完善的环境风险应急预案，落实环境风险事故防范措施，提高事故风险防范和污染控制能力</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四、该项目从批准之日超过5年方决定开工建设，其环评文件需重新审核。如果建设地点、规模、防治污染和防止生态破坏的措施等发生重大变化时，需重新报批环评文件。</w:t>
      </w:r>
    </w:p>
    <w:p>
      <w:pPr>
        <w:pStyle w:val="2"/>
        <w:ind w:left="0" w:leftChars="0" w:firstLine="0" w:firstLineChars="0"/>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tbl>
      <w:tblPr>
        <w:tblStyle w:val="9"/>
        <w:tblpPr w:leftFromText="180" w:rightFromText="180" w:vertAnchor="text" w:horzAnchor="page" w:tblpX="1531" w:tblpY="11703"/>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bookmarkStart w:id="0" w:name="_GoBack"/>
            <w:bookmarkEnd w:id="0"/>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2023</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3</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16</w:t>
            </w:r>
            <w:r>
              <w:rPr>
                <w:rFonts w:hint="eastAsia" w:ascii="仿宋_GB2312" w:hAnsi="仿宋_GB2312" w:eastAsia="仿宋_GB2312" w:cs="仿宋_GB2312"/>
                <w:b w:val="0"/>
                <w:bCs w:val="0"/>
                <w:sz w:val="28"/>
                <w:szCs w:val="28"/>
                <w:lang w:eastAsia="zh-CN"/>
              </w:rPr>
              <w:t>日印发</w:t>
            </w:r>
          </w:p>
        </w:tc>
      </w:tr>
    </w:tbl>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59618E"/>
    <w:rsid w:val="007E3609"/>
    <w:rsid w:val="01365766"/>
    <w:rsid w:val="01633CD3"/>
    <w:rsid w:val="028E4F47"/>
    <w:rsid w:val="02921B28"/>
    <w:rsid w:val="03FA7BA6"/>
    <w:rsid w:val="043A7BC4"/>
    <w:rsid w:val="04461020"/>
    <w:rsid w:val="046935BE"/>
    <w:rsid w:val="04A75315"/>
    <w:rsid w:val="05316E69"/>
    <w:rsid w:val="062924CB"/>
    <w:rsid w:val="06B70575"/>
    <w:rsid w:val="06BB2083"/>
    <w:rsid w:val="07045864"/>
    <w:rsid w:val="07F2642F"/>
    <w:rsid w:val="097E7A96"/>
    <w:rsid w:val="098047A9"/>
    <w:rsid w:val="0A1D07A0"/>
    <w:rsid w:val="0DEC1CEE"/>
    <w:rsid w:val="0DF77E44"/>
    <w:rsid w:val="0E7D4E26"/>
    <w:rsid w:val="0E8F4990"/>
    <w:rsid w:val="0ED87626"/>
    <w:rsid w:val="0F0D4D42"/>
    <w:rsid w:val="0FEF7A72"/>
    <w:rsid w:val="0FFE65CF"/>
    <w:rsid w:val="10165EC4"/>
    <w:rsid w:val="10E10A74"/>
    <w:rsid w:val="10E7210E"/>
    <w:rsid w:val="10EA13BE"/>
    <w:rsid w:val="11024AD4"/>
    <w:rsid w:val="115D5C26"/>
    <w:rsid w:val="11717CDD"/>
    <w:rsid w:val="126F5E17"/>
    <w:rsid w:val="12EC6C66"/>
    <w:rsid w:val="130F694F"/>
    <w:rsid w:val="131F55C7"/>
    <w:rsid w:val="13572942"/>
    <w:rsid w:val="13D03B55"/>
    <w:rsid w:val="14407A92"/>
    <w:rsid w:val="14B2681F"/>
    <w:rsid w:val="153043A6"/>
    <w:rsid w:val="159F5A15"/>
    <w:rsid w:val="15AF7257"/>
    <w:rsid w:val="15B60C56"/>
    <w:rsid w:val="15D01567"/>
    <w:rsid w:val="16AB6934"/>
    <w:rsid w:val="16E84051"/>
    <w:rsid w:val="1724329B"/>
    <w:rsid w:val="17624DC0"/>
    <w:rsid w:val="17777004"/>
    <w:rsid w:val="1800154B"/>
    <w:rsid w:val="18136045"/>
    <w:rsid w:val="183E0E52"/>
    <w:rsid w:val="1A1324AA"/>
    <w:rsid w:val="1B8A7D14"/>
    <w:rsid w:val="1B974EA0"/>
    <w:rsid w:val="1C0527D0"/>
    <w:rsid w:val="1C456101"/>
    <w:rsid w:val="1CD20424"/>
    <w:rsid w:val="1D175E0D"/>
    <w:rsid w:val="1DFE6553"/>
    <w:rsid w:val="1F9F20EA"/>
    <w:rsid w:val="201447CA"/>
    <w:rsid w:val="204D5FEA"/>
    <w:rsid w:val="205B2D01"/>
    <w:rsid w:val="209133F4"/>
    <w:rsid w:val="20AE781D"/>
    <w:rsid w:val="20AF49C5"/>
    <w:rsid w:val="20B46B33"/>
    <w:rsid w:val="20B7057B"/>
    <w:rsid w:val="20E62715"/>
    <w:rsid w:val="211E6E3A"/>
    <w:rsid w:val="22462CF1"/>
    <w:rsid w:val="228D0697"/>
    <w:rsid w:val="22A243CB"/>
    <w:rsid w:val="22AB7C5E"/>
    <w:rsid w:val="242D33F8"/>
    <w:rsid w:val="24EE7FC8"/>
    <w:rsid w:val="26CE535D"/>
    <w:rsid w:val="284647B2"/>
    <w:rsid w:val="28EC45F2"/>
    <w:rsid w:val="292C2A21"/>
    <w:rsid w:val="29820AC2"/>
    <w:rsid w:val="2A104310"/>
    <w:rsid w:val="2A9F7442"/>
    <w:rsid w:val="2B6043F8"/>
    <w:rsid w:val="2C08494D"/>
    <w:rsid w:val="2C0B272C"/>
    <w:rsid w:val="2CB73169"/>
    <w:rsid w:val="2D3220F3"/>
    <w:rsid w:val="2D5B47DA"/>
    <w:rsid w:val="2DB22541"/>
    <w:rsid w:val="2F327688"/>
    <w:rsid w:val="2F62435C"/>
    <w:rsid w:val="2FA12DD9"/>
    <w:rsid w:val="2FAF1ED5"/>
    <w:rsid w:val="30E74E02"/>
    <w:rsid w:val="314762A3"/>
    <w:rsid w:val="318C0CAF"/>
    <w:rsid w:val="31B41641"/>
    <w:rsid w:val="31E46A1B"/>
    <w:rsid w:val="32A03F3C"/>
    <w:rsid w:val="339E47D3"/>
    <w:rsid w:val="33AD634D"/>
    <w:rsid w:val="33D3365F"/>
    <w:rsid w:val="33DB0411"/>
    <w:rsid w:val="33F24A86"/>
    <w:rsid w:val="344E63ED"/>
    <w:rsid w:val="352C1F44"/>
    <w:rsid w:val="366250FF"/>
    <w:rsid w:val="36B6463D"/>
    <w:rsid w:val="37F90FA0"/>
    <w:rsid w:val="38123349"/>
    <w:rsid w:val="388A3B36"/>
    <w:rsid w:val="38AF6386"/>
    <w:rsid w:val="38BA220F"/>
    <w:rsid w:val="390A2872"/>
    <w:rsid w:val="39275A09"/>
    <w:rsid w:val="3A6652D3"/>
    <w:rsid w:val="3B5E2C18"/>
    <w:rsid w:val="3BEF0959"/>
    <w:rsid w:val="3C945435"/>
    <w:rsid w:val="3D0274EA"/>
    <w:rsid w:val="3D8A55B9"/>
    <w:rsid w:val="3E1B5E09"/>
    <w:rsid w:val="3E225636"/>
    <w:rsid w:val="3E301C92"/>
    <w:rsid w:val="3E593D44"/>
    <w:rsid w:val="40A72A4F"/>
    <w:rsid w:val="40F72007"/>
    <w:rsid w:val="416A7A94"/>
    <w:rsid w:val="426D3F80"/>
    <w:rsid w:val="432540FF"/>
    <w:rsid w:val="435A7802"/>
    <w:rsid w:val="450F6E15"/>
    <w:rsid w:val="45180072"/>
    <w:rsid w:val="4556072D"/>
    <w:rsid w:val="45804310"/>
    <w:rsid w:val="45E96615"/>
    <w:rsid w:val="46204FCB"/>
    <w:rsid w:val="463F1BA2"/>
    <w:rsid w:val="47066B31"/>
    <w:rsid w:val="47250996"/>
    <w:rsid w:val="47D91D8D"/>
    <w:rsid w:val="481D7ECC"/>
    <w:rsid w:val="48421AFD"/>
    <w:rsid w:val="48BA4EAF"/>
    <w:rsid w:val="492D1028"/>
    <w:rsid w:val="49D74599"/>
    <w:rsid w:val="4AC81019"/>
    <w:rsid w:val="4B172583"/>
    <w:rsid w:val="4B381CD7"/>
    <w:rsid w:val="4B453214"/>
    <w:rsid w:val="4C7607B0"/>
    <w:rsid w:val="4D0E26EE"/>
    <w:rsid w:val="4E000FE3"/>
    <w:rsid w:val="4E576512"/>
    <w:rsid w:val="4E5C7274"/>
    <w:rsid w:val="4E751467"/>
    <w:rsid w:val="4E9A0B0B"/>
    <w:rsid w:val="4ED93C8A"/>
    <w:rsid w:val="4FC40DF6"/>
    <w:rsid w:val="504D1985"/>
    <w:rsid w:val="514D6D1E"/>
    <w:rsid w:val="51986D55"/>
    <w:rsid w:val="53DC50DF"/>
    <w:rsid w:val="540A692D"/>
    <w:rsid w:val="54B75D13"/>
    <w:rsid w:val="54F46459"/>
    <w:rsid w:val="552E2953"/>
    <w:rsid w:val="57580F21"/>
    <w:rsid w:val="57930117"/>
    <w:rsid w:val="58837031"/>
    <w:rsid w:val="59984021"/>
    <w:rsid w:val="5A19409B"/>
    <w:rsid w:val="5A4E6902"/>
    <w:rsid w:val="5AA918E5"/>
    <w:rsid w:val="5B5E6DD7"/>
    <w:rsid w:val="5B8A01CE"/>
    <w:rsid w:val="5C09794B"/>
    <w:rsid w:val="5C2356CF"/>
    <w:rsid w:val="5C605DDE"/>
    <w:rsid w:val="5CFC3B75"/>
    <w:rsid w:val="5D3A6F56"/>
    <w:rsid w:val="5DD952F7"/>
    <w:rsid w:val="5E747311"/>
    <w:rsid w:val="5EF54325"/>
    <w:rsid w:val="5F6C49E9"/>
    <w:rsid w:val="603D4476"/>
    <w:rsid w:val="60B30D11"/>
    <w:rsid w:val="60D34A6F"/>
    <w:rsid w:val="611618A8"/>
    <w:rsid w:val="61E00FC6"/>
    <w:rsid w:val="61F84590"/>
    <w:rsid w:val="626C6CC7"/>
    <w:rsid w:val="636A7EF6"/>
    <w:rsid w:val="63EA167A"/>
    <w:rsid w:val="65012146"/>
    <w:rsid w:val="651C3634"/>
    <w:rsid w:val="656C51A0"/>
    <w:rsid w:val="65727C91"/>
    <w:rsid w:val="658214F3"/>
    <w:rsid w:val="65A07295"/>
    <w:rsid w:val="65E757C0"/>
    <w:rsid w:val="66213BCE"/>
    <w:rsid w:val="67FA53F6"/>
    <w:rsid w:val="68C059FC"/>
    <w:rsid w:val="696C04C3"/>
    <w:rsid w:val="69825989"/>
    <w:rsid w:val="698646A3"/>
    <w:rsid w:val="699C2C89"/>
    <w:rsid w:val="6A8574B7"/>
    <w:rsid w:val="6AA355EE"/>
    <w:rsid w:val="6B626137"/>
    <w:rsid w:val="6B7D4D35"/>
    <w:rsid w:val="6B910106"/>
    <w:rsid w:val="6CEA6DDF"/>
    <w:rsid w:val="6D1872DF"/>
    <w:rsid w:val="6D9816F7"/>
    <w:rsid w:val="6E593711"/>
    <w:rsid w:val="6E7E1C89"/>
    <w:rsid w:val="6FF53544"/>
    <w:rsid w:val="6FF91BE8"/>
    <w:rsid w:val="70570DF2"/>
    <w:rsid w:val="70585696"/>
    <w:rsid w:val="71066533"/>
    <w:rsid w:val="710F55E5"/>
    <w:rsid w:val="71AA3625"/>
    <w:rsid w:val="71B10E5E"/>
    <w:rsid w:val="72140190"/>
    <w:rsid w:val="721F0C9A"/>
    <w:rsid w:val="723D6EFC"/>
    <w:rsid w:val="73347A19"/>
    <w:rsid w:val="74116A8A"/>
    <w:rsid w:val="74D52A3C"/>
    <w:rsid w:val="757F6629"/>
    <w:rsid w:val="758C2ECD"/>
    <w:rsid w:val="7592164A"/>
    <w:rsid w:val="762C4582"/>
    <w:rsid w:val="773D651D"/>
    <w:rsid w:val="77974CF6"/>
    <w:rsid w:val="77AE3A43"/>
    <w:rsid w:val="780760C1"/>
    <w:rsid w:val="78CA7BDA"/>
    <w:rsid w:val="78E6328F"/>
    <w:rsid w:val="79634F3A"/>
    <w:rsid w:val="79E165C8"/>
    <w:rsid w:val="7AF406B1"/>
    <w:rsid w:val="7B807F81"/>
    <w:rsid w:val="7C0B57A7"/>
    <w:rsid w:val="7C30549F"/>
    <w:rsid w:val="7D537911"/>
    <w:rsid w:val="7DA904F2"/>
    <w:rsid w:val="7E072520"/>
    <w:rsid w:val="7EE448C1"/>
    <w:rsid w:val="7F8E676F"/>
    <w:rsid w:val="7FB04DA1"/>
    <w:rsid w:val="7FDC1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4"/>
    <w:basedOn w:val="1"/>
    <w:next w:val="3"/>
    <w:qFormat/>
    <w:uiPriority w:val="9"/>
    <w:pPr>
      <w:keepNext/>
      <w:keepLines/>
      <w:ind w:firstLine="200"/>
      <w:outlineLvl w:val="3"/>
    </w:pPr>
    <w:rPr>
      <w:rFonts w:ascii="Calibri Light" w:hAnsi="Calibri Light"/>
      <w:bCs/>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样式 正文缩进正文缩进2正文缩进 Char Char正文缩进 Char Char Char Char正文缩进 Char ..."/>
    <w:basedOn w:val="3"/>
    <w:qFormat/>
    <w:uiPriority w:val="0"/>
    <w:pPr>
      <w:spacing w:line="360" w:lineRule="auto"/>
      <w:ind w:firstLine="200"/>
    </w:pPr>
    <w:rPr>
      <w:rFonts w:cs="宋体"/>
      <w:sz w:val="24"/>
    </w:rPr>
  </w:style>
  <w:style w:type="paragraph" w:styleId="3">
    <w:name w:val="Normal Indent"/>
    <w:basedOn w:val="1"/>
    <w:next w:val="4"/>
    <w:qFormat/>
    <w:uiPriority w:val="0"/>
  </w:style>
  <w:style w:type="paragraph" w:styleId="4">
    <w:name w:val="Body Text First Indent 2"/>
    <w:basedOn w:val="5"/>
    <w:next w:val="1"/>
    <w:qFormat/>
    <w:uiPriority w:val="0"/>
    <w:pPr>
      <w:ind w:firstLine="420" w:firstLineChars="200"/>
    </w:pPr>
  </w:style>
  <w:style w:type="paragraph" w:styleId="5">
    <w:name w:val="Body Text Indent"/>
    <w:basedOn w:val="1"/>
    <w:next w:val="1"/>
    <w:qFormat/>
    <w:uiPriority w:val="0"/>
    <w:pPr>
      <w:keepNext/>
      <w:widowControl w:val="0"/>
      <w:spacing w:line="360" w:lineRule="auto"/>
    </w:pPr>
    <w:rPr>
      <w:rFonts w:eastAsia="宋体"/>
      <w:sz w:val="24"/>
    </w:rPr>
  </w:style>
  <w:style w:type="paragraph" w:styleId="7">
    <w:name w:val="Body Text"/>
    <w:basedOn w:val="1"/>
    <w:next w:val="1"/>
    <w:qFormat/>
    <w:uiPriority w:val="0"/>
    <w:pPr>
      <w:widowControl/>
      <w:snapToGrid w:val="0"/>
      <w:spacing w:before="60" w:after="160" w:line="259" w:lineRule="auto"/>
      <w:ind w:right="113"/>
    </w:pPr>
    <w:rPr>
      <w:kern w:val="0"/>
      <w:sz w:val="18"/>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character" w:styleId="11">
    <w:name w:val="annotation reference"/>
    <w:semiHidden/>
    <w:qFormat/>
    <w:uiPriority w:val="0"/>
    <w:rPr>
      <w:sz w:val="21"/>
    </w:rPr>
  </w:style>
  <w:style w:type="paragraph" w:customStyle="1" w:styleId="12">
    <w:name w:val="List Paragraph"/>
    <w:basedOn w:val="1"/>
    <w:qFormat/>
    <w:uiPriority w:val="34"/>
    <w:pPr>
      <w:ind w:firstLine="420" w:firstLineChars="200"/>
    </w:pPr>
  </w:style>
  <w:style w:type="paragraph" w:customStyle="1" w:styleId="13">
    <w:name w:val="内嵌表格"/>
    <w:basedOn w:val="7"/>
    <w:next w:val="1"/>
    <w:qFormat/>
    <w:uiPriority w:val="0"/>
    <w:pPr>
      <w:snapToGrid w:val="0"/>
      <w:spacing w:line="360" w:lineRule="exact"/>
      <w:ind w:firstLine="0" w:firstLineChars="0"/>
      <w:jc w:val="center"/>
    </w:pPr>
    <w:rPr>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1122</Words>
  <Characters>1183</Characters>
  <Lines>0</Lines>
  <Paragraphs>0</Paragraphs>
  <TotalTime>0</TotalTime>
  <ScaleCrop>false</ScaleCrop>
  <LinksUpToDate>false</LinksUpToDate>
  <CharactersWithSpaces>1223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2020-05-21T08:52:00Z</cp:lastPrinted>
  <dcterms:modified xsi:type="dcterms:W3CDTF">2023-03-07T01:35:26Z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E75057561DC94CFFA974C81A9EF549AA</vt:lpwstr>
  </property>
</Properties>
</file>