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2023</w:t>
      </w:r>
      <w:r>
        <w:rPr>
          <w:rFonts w:hint="eastAsia" w:ascii="楷体" w:hAnsi="楷体" w:eastAsia="楷体" w:cs="楷体"/>
          <w:sz w:val="32"/>
          <w:szCs w:val="32"/>
        </w:rPr>
        <w:t>〕</w:t>
      </w:r>
      <w:r>
        <w:rPr>
          <w:rFonts w:hint="eastAsia" w:ascii="楷体" w:hAnsi="楷体" w:eastAsia="楷体" w:cs="楷体"/>
          <w:sz w:val="32"/>
          <w:szCs w:val="32"/>
          <w:lang w:val="en-US" w:eastAsia="zh-CN"/>
        </w:rPr>
        <w:t>4</w:t>
      </w:r>
      <w:r>
        <w:rPr>
          <w:rFonts w:hint="eastAsia" w:ascii="楷体" w:hAnsi="楷体" w:eastAsia="楷体" w:cs="楷体"/>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鄂托克前旗蒙医综合医院旧址维修改造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项目环境影响报告</w:t>
      </w:r>
      <w:r>
        <w:rPr>
          <w:rFonts w:hint="eastAsia" w:ascii="方正小标宋简体" w:eastAsia="方正小标宋简体"/>
          <w:sz w:val="44"/>
          <w:szCs w:val="44"/>
          <w:lang w:val="en-US" w:eastAsia="zh-CN"/>
        </w:rPr>
        <w:t>表</w:t>
      </w:r>
      <w:r>
        <w:rPr>
          <w:rFonts w:hint="eastAsia" w:ascii="方正小标宋简体" w:eastAsia="方正小标宋简体"/>
          <w:sz w:val="44"/>
          <w:szCs w:val="44"/>
        </w:rPr>
        <w:t>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鄂托克前旗卫生健康委员会：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单位</w:t>
      </w:r>
      <w:r>
        <w:rPr>
          <w:rFonts w:hint="eastAsia" w:ascii="仿宋_GB2312" w:hAnsi="仿宋_GB2312" w:eastAsia="仿宋_GB2312" w:cs="仿宋_GB2312"/>
          <w:b w:val="0"/>
          <w:bCs w:val="0"/>
          <w:sz w:val="32"/>
          <w:szCs w:val="32"/>
        </w:rPr>
        <w:t>报送的由内蒙古欣荣安环科技公司编制的《 鄂托克前旗蒙医综合医院旧址维修改造项目环境影响报告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》（以下简称《报告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》）已收悉。经审查，现批复如下：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80" w:lineRule="exact"/>
        <w:ind w:firstLine="640" w:firstLineChars="200"/>
        <w:jc w:val="left"/>
        <w:textAlignment w:val="auto"/>
        <w:rPr>
          <w:rFonts w:hint="default" w:eastAsia="仿宋_GB2312"/>
          <w:highlight w:val="red"/>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一、本</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位</w:t>
      </w:r>
      <w:r>
        <w:rPr>
          <w:rFonts w:hint="eastAsia" w:ascii="仿宋_GB2312" w:hAnsi="仿宋_GB2312" w:eastAsia="仿宋_GB2312" w:cs="仿宋_GB2312"/>
          <w:b w:val="0"/>
          <w:bCs w:val="0"/>
          <w:color w:val="000000" w:themeColor="text1"/>
          <w:sz w:val="32"/>
          <w:szCs w:val="32"/>
          <w14:textFill>
            <w14:solidFill>
              <w14:schemeClr w14:val="tx1"/>
            </w14:solidFill>
          </w14:textFill>
        </w:rPr>
        <w:t>于鄂托克前旗</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敖勒召其镇</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主要建设内容：对鄂托克前旗蒙医综合医院旧址进行维修改造，改造完成后交旗妇幼保健计划生育服务中心使用，项目涉及病床62张。项目</w:t>
      </w:r>
      <w:r>
        <w:rPr>
          <w:rFonts w:hint="eastAsia" w:ascii="仿宋_GB2312" w:hAnsi="仿宋_GB2312" w:eastAsia="仿宋_GB2312" w:cs="仿宋_GB2312"/>
          <w:b w:val="0"/>
          <w:bCs w:val="0"/>
          <w:color w:val="000000" w:themeColor="text1"/>
          <w:sz w:val="32"/>
          <w:szCs w:val="32"/>
          <w14:textFill>
            <w14:solidFill>
              <w14:schemeClr w14:val="tx1"/>
            </w14:solidFill>
          </w14:textFill>
        </w:rPr>
        <w:t>总投资1257.62万元,其中环保投资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b w:val="0"/>
          <w:bCs w:val="0"/>
          <w:color w:val="000000" w:themeColor="text1"/>
          <w:sz w:val="32"/>
          <w:szCs w:val="32"/>
          <w14:textFill>
            <w14:solidFill>
              <w14:schemeClr w14:val="tx1"/>
            </w14:solidFill>
          </w14:textFill>
        </w:rPr>
        <w:t>万元</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占总投资的7.95%。</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》认为，在全面落实各项生态环境保护和环境污染防治措施的前提下，项目建设对环境的不利影响能够得到一定的缓解和控制。因此，我局原则同意你</w:t>
      </w:r>
      <w:r>
        <w:rPr>
          <w:rFonts w:hint="eastAsia" w:ascii="仿宋_GB2312" w:hAnsi="仿宋_GB2312" w:eastAsia="仿宋_GB2312" w:cs="仿宋_GB2312"/>
          <w:b w:val="0"/>
          <w:bCs w:val="0"/>
          <w:sz w:val="32"/>
          <w:szCs w:val="32"/>
          <w:lang w:val="en-US" w:eastAsia="zh-CN"/>
        </w:rPr>
        <w:t>单位</w:t>
      </w:r>
      <w:r>
        <w:rPr>
          <w:rFonts w:hint="eastAsia" w:ascii="仿宋_GB2312" w:hAnsi="仿宋_GB2312" w:eastAsia="仿宋_GB2312" w:cs="仿宋_GB2312"/>
          <w:b w:val="0"/>
          <w:bCs w:val="0"/>
          <w:sz w:val="32"/>
          <w:szCs w:val="32"/>
        </w:rPr>
        <w:t>按照《报告</w:t>
      </w:r>
      <w:r>
        <w:rPr>
          <w:rFonts w:hint="eastAsia" w:ascii="仿宋_GB2312" w:hAnsi="仿宋_GB2312" w:eastAsia="仿宋_GB2312" w:cs="仿宋_GB2312"/>
          <w:b w:val="0"/>
          <w:bCs w:val="0"/>
          <w:sz w:val="32"/>
          <w:szCs w:val="32"/>
          <w:lang w:val="en-US" w:eastAsia="zh-CN"/>
        </w:rPr>
        <w:t>表</w:t>
      </w:r>
      <w:r>
        <w:rPr>
          <w:rFonts w:hint="eastAsia" w:ascii="仿宋_GB2312" w:hAnsi="仿宋_GB2312" w:eastAsia="仿宋_GB2312" w:cs="仿宋_GB2312"/>
          <w:b w:val="0"/>
          <w:bCs w:val="0"/>
          <w:sz w:val="32"/>
          <w:szCs w:val="32"/>
        </w:rPr>
        <w:t>》中所列的建设项目性质、规模、地点、环境保护措施进行建设。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项目建设与运行管理中应重点做好的工作</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sz w:val="32"/>
          <w:szCs w:val="32"/>
          <w:lang w:val="en-US" w:eastAsia="zh-CN"/>
        </w:rPr>
        <w:t>落实废气污染防治措施</w:t>
      </w:r>
      <w:r>
        <w:rPr>
          <w:rFonts w:hint="eastAsia" w:ascii="仿宋_GB2312" w:hAnsi="仿宋_GB2312" w:eastAsia="仿宋_GB2312" w:cs="仿宋_GB2312"/>
          <w:b w:val="0"/>
          <w:bCs w:val="0"/>
          <w:sz w:val="32"/>
          <w:szCs w:val="32"/>
          <w:lang w:val="en-US" w:eastAsia="zh-CN"/>
        </w:rPr>
        <w:t>。建设单位应加强对污水处理设备的日常维护，并采取有效措施做好污水处理站的密闭工作，防止恶臭气体扩散。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sz w:val="32"/>
          <w:szCs w:val="32"/>
          <w:lang w:val="en-US" w:eastAsia="zh-CN"/>
        </w:rPr>
        <w:t>落实废水污染防治措施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。医疗废水经自建一体化</w:t>
      </w:r>
      <w:r>
        <w:rPr>
          <w:rFonts w:hint="eastAsia" w:ascii="仿宋_GB2312" w:hAnsi="仿宋_GB2312" w:eastAsia="仿宋_GB2312" w:cs="仿宋_GB2312"/>
          <w:b w:val="0"/>
          <w:bCs w:val="0"/>
          <w:sz w:val="32"/>
          <w:szCs w:val="32"/>
          <w:lang w:val="en-US" w:eastAsia="zh-CN"/>
        </w:rPr>
        <w:t>污水处理设备处理后达到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《医疗机构水污染物排放标准》（GB18466-2005）预处理标准浓度限值后再排入市政管网。</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3、落实噪声污染</w:t>
      </w:r>
      <w:r>
        <w:rPr>
          <w:rFonts w:hint="eastAsia" w:ascii="仿宋_GB2312" w:hAnsi="仿宋_GB2312" w:eastAsia="仿宋_GB2312" w:cs="仿宋_GB2312"/>
          <w:sz w:val="32"/>
          <w:szCs w:val="32"/>
          <w:lang w:val="en-US" w:eastAsia="zh-CN"/>
        </w:rPr>
        <w:t>防治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措施。应采取选用低噪声设备、基础减震、隔声等措施，确保厂界噪声满足《工业企业厂界环境噪声排放标准》（GB12348-2008）1类标准的要求。</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4、妥善处置各类固体废弃物</w:t>
      </w:r>
      <w:r>
        <w:rPr>
          <w:rFonts w:hint="eastAsia" w:ascii="仿宋_GB2312" w:hAnsi="仿宋_GB2312" w:eastAsia="仿宋_GB2312" w:cs="仿宋_GB2312"/>
          <w:sz w:val="32"/>
          <w:szCs w:val="32"/>
          <w:lang w:val="en-US" w:eastAsia="zh-CN"/>
        </w:rPr>
        <w:t>。</w:t>
      </w:r>
      <w:bookmarkStart w:id="0" w:name="_GoBack"/>
      <w:bookmarkEnd w:id="0"/>
      <w:r>
        <w:rPr>
          <w:rFonts w:hint="eastAsia" w:ascii="仿宋_GB2312" w:hAnsi="仿宋_GB2312" w:eastAsia="仿宋_GB2312" w:cs="仿宋_GB2312"/>
          <w:sz w:val="32"/>
          <w:szCs w:val="32"/>
          <w:lang w:val="en-US" w:eastAsia="zh-CN"/>
        </w:rPr>
        <w:t>医疗废物经分类收集后暂存于医疗废物暂存间内，最终交由有资质单位处理；沉淀池污泥定期清掏后委托有资质单位处置；生活垃圾集中收集后定期交由环卫部门统一清理。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5、强化环境风险防范措施。制定完善的环境风险应急预案，落实环境风险事故防范措施，提高事故风险防范和污染控制能力</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四、该项目从批准之日超过5年方决定开工建设，其环评文件需重新审核。如果建设地点、规模、防治污染和防止生态破坏的措施等发生重大变化时，需重新报批环评文件。</w:t>
      </w:r>
    </w:p>
    <w:p>
      <w:pPr>
        <w:pStyle w:val="2"/>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tbl>
      <w:tblPr>
        <w:tblStyle w:val="9"/>
        <w:tblpPr w:leftFromText="180" w:rightFromText="180" w:vertAnchor="text" w:horzAnchor="page" w:tblpX="1531" w:tblpY="11703"/>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2023</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3</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16</w:t>
            </w:r>
            <w:r>
              <w:rPr>
                <w:rFonts w:hint="eastAsia" w:ascii="仿宋_GB2312" w:hAnsi="仿宋_GB2312" w:eastAsia="仿宋_GB2312" w:cs="仿宋_GB2312"/>
                <w:b w:val="0"/>
                <w:bCs w:val="0"/>
                <w:sz w:val="28"/>
                <w:szCs w:val="28"/>
                <w:lang w:eastAsia="zh-CN"/>
              </w:rPr>
              <w:t>日印发</w:t>
            </w:r>
          </w:p>
        </w:tc>
      </w:tr>
    </w:tbl>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59618E"/>
    <w:rsid w:val="007E3609"/>
    <w:rsid w:val="01365766"/>
    <w:rsid w:val="01633CD3"/>
    <w:rsid w:val="028E4F47"/>
    <w:rsid w:val="02921B28"/>
    <w:rsid w:val="03FA7BA6"/>
    <w:rsid w:val="043A7BC4"/>
    <w:rsid w:val="04461020"/>
    <w:rsid w:val="046935BE"/>
    <w:rsid w:val="04A75315"/>
    <w:rsid w:val="05316E69"/>
    <w:rsid w:val="062924CB"/>
    <w:rsid w:val="06B70575"/>
    <w:rsid w:val="06BB2083"/>
    <w:rsid w:val="07045864"/>
    <w:rsid w:val="07F2642F"/>
    <w:rsid w:val="08F334D4"/>
    <w:rsid w:val="097E7A96"/>
    <w:rsid w:val="098047A9"/>
    <w:rsid w:val="0A1D07A0"/>
    <w:rsid w:val="0DEC1CEE"/>
    <w:rsid w:val="0DF77E44"/>
    <w:rsid w:val="0E593927"/>
    <w:rsid w:val="0E7D4E26"/>
    <w:rsid w:val="0E8F4990"/>
    <w:rsid w:val="0ED87626"/>
    <w:rsid w:val="0F0D4D42"/>
    <w:rsid w:val="0FEF7A72"/>
    <w:rsid w:val="0FFE65CF"/>
    <w:rsid w:val="10165EC4"/>
    <w:rsid w:val="10E10A74"/>
    <w:rsid w:val="10E7210E"/>
    <w:rsid w:val="10EA13BE"/>
    <w:rsid w:val="11024AD4"/>
    <w:rsid w:val="115D5C26"/>
    <w:rsid w:val="11717CDD"/>
    <w:rsid w:val="11DA1F57"/>
    <w:rsid w:val="126F5E17"/>
    <w:rsid w:val="12EC6C66"/>
    <w:rsid w:val="130F694F"/>
    <w:rsid w:val="131F55C7"/>
    <w:rsid w:val="13572942"/>
    <w:rsid w:val="13D03B55"/>
    <w:rsid w:val="14407A92"/>
    <w:rsid w:val="14B2681F"/>
    <w:rsid w:val="153043A6"/>
    <w:rsid w:val="159F5A15"/>
    <w:rsid w:val="15AF7257"/>
    <w:rsid w:val="15B60C56"/>
    <w:rsid w:val="15D01567"/>
    <w:rsid w:val="16AB6934"/>
    <w:rsid w:val="16E84051"/>
    <w:rsid w:val="1724329B"/>
    <w:rsid w:val="17624DC0"/>
    <w:rsid w:val="17777004"/>
    <w:rsid w:val="1800154B"/>
    <w:rsid w:val="18136045"/>
    <w:rsid w:val="183E0E52"/>
    <w:rsid w:val="18E216C5"/>
    <w:rsid w:val="1A1324AA"/>
    <w:rsid w:val="1A271327"/>
    <w:rsid w:val="1B8A7D14"/>
    <w:rsid w:val="1B974EA0"/>
    <w:rsid w:val="1C0527D0"/>
    <w:rsid w:val="1C456101"/>
    <w:rsid w:val="1CD20424"/>
    <w:rsid w:val="1D175E0D"/>
    <w:rsid w:val="1DFE6553"/>
    <w:rsid w:val="1F9F20EA"/>
    <w:rsid w:val="201447CA"/>
    <w:rsid w:val="204D5FEA"/>
    <w:rsid w:val="205B2D01"/>
    <w:rsid w:val="209133F4"/>
    <w:rsid w:val="20AE781D"/>
    <w:rsid w:val="20AF49C5"/>
    <w:rsid w:val="20B46B33"/>
    <w:rsid w:val="20B7057B"/>
    <w:rsid w:val="20E62715"/>
    <w:rsid w:val="211E6E3A"/>
    <w:rsid w:val="216B497A"/>
    <w:rsid w:val="22462CF1"/>
    <w:rsid w:val="228D0697"/>
    <w:rsid w:val="22A243CB"/>
    <w:rsid w:val="22AB7C5E"/>
    <w:rsid w:val="242D33F8"/>
    <w:rsid w:val="2457001C"/>
    <w:rsid w:val="24EE7FC8"/>
    <w:rsid w:val="26CE535D"/>
    <w:rsid w:val="274D5C67"/>
    <w:rsid w:val="284647B2"/>
    <w:rsid w:val="28EC45F2"/>
    <w:rsid w:val="29170CD9"/>
    <w:rsid w:val="292C2A21"/>
    <w:rsid w:val="29820AC2"/>
    <w:rsid w:val="2A104310"/>
    <w:rsid w:val="2A9F7442"/>
    <w:rsid w:val="2B6043F8"/>
    <w:rsid w:val="2C08494D"/>
    <w:rsid w:val="2C0B272C"/>
    <w:rsid w:val="2CB73169"/>
    <w:rsid w:val="2D3220F3"/>
    <w:rsid w:val="2D5B47DA"/>
    <w:rsid w:val="2DB22541"/>
    <w:rsid w:val="2F327688"/>
    <w:rsid w:val="2F62435C"/>
    <w:rsid w:val="2F9024D5"/>
    <w:rsid w:val="2FA12DD9"/>
    <w:rsid w:val="2FAF1ED5"/>
    <w:rsid w:val="30E74E02"/>
    <w:rsid w:val="314762A3"/>
    <w:rsid w:val="318C0CAF"/>
    <w:rsid w:val="31B41641"/>
    <w:rsid w:val="31E46A1B"/>
    <w:rsid w:val="32A03F3C"/>
    <w:rsid w:val="338A2C17"/>
    <w:rsid w:val="339E47D3"/>
    <w:rsid w:val="33AD634D"/>
    <w:rsid w:val="33D3365F"/>
    <w:rsid w:val="33DB0411"/>
    <w:rsid w:val="33F24A86"/>
    <w:rsid w:val="344E63ED"/>
    <w:rsid w:val="352C1F44"/>
    <w:rsid w:val="366250FF"/>
    <w:rsid w:val="36B6463D"/>
    <w:rsid w:val="371A67CE"/>
    <w:rsid w:val="37F90FA0"/>
    <w:rsid w:val="38123349"/>
    <w:rsid w:val="388A3B36"/>
    <w:rsid w:val="38AF6386"/>
    <w:rsid w:val="38BA220F"/>
    <w:rsid w:val="390A2872"/>
    <w:rsid w:val="39275A09"/>
    <w:rsid w:val="3A6652D3"/>
    <w:rsid w:val="3B5E2C18"/>
    <w:rsid w:val="3BEF0959"/>
    <w:rsid w:val="3C945435"/>
    <w:rsid w:val="3D0274EA"/>
    <w:rsid w:val="3D8A55B9"/>
    <w:rsid w:val="3E1B5E09"/>
    <w:rsid w:val="3E225636"/>
    <w:rsid w:val="3E301C92"/>
    <w:rsid w:val="3E593D44"/>
    <w:rsid w:val="3FAA26B9"/>
    <w:rsid w:val="3FE84E88"/>
    <w:rsid w:val="40A72A4F"/>
    <w:rsid w:val="40BE108E"/>
    <w:rsid w:val="40F72007"/>
    <w:rsid w:val="416A7A94"/>
    <w:rsid w:val="426D3F80"/>
    <w:rsid w:val="432540FF"/>
    <w:rsid w:val="435A7802"/>
    <w:rsid w:val="450F6E15"/>
    <w:rsid w:val="45180072"/>
    <w:rsid w:val="4556072D"/>
    <w:rsid w:val="45804310"/>
    <w:rsid w:val="45E96615"/>
    <w:rsid w:val="46204FCB"/>
    <w:rsid w:val="463F1BA2"/>
    <w:rsid w:val="46EB4F16"/>
    <w:rsid w:val="47066B31"/>
    <w:rsid w:val="47250996"/>
    <w:rsid w:val="47D91D8D"/>
    <w:rsid w:val="481D7ECC"/>
    <w:rsid w:val="48421AFD"/>
    <w:rsid w:val="48BA4EAF"/>
    <w:rsid w:val="492D1028"/>
    <w:rsid w:val="49D74599"/>
    <w:rsid w:val="4AC81019"/>
    <w:rsid w:val="4ACB57CB"/>
    <w:rsid w:val="4B172583"/>
    <w:rsid w:val="4B381CD7"/>
    <w:rsid w:val="4B453214"/>
    <w:rsid w:val="4C6A0090"/>
    <w:rsid w:val="4C7607B0"/>
    <w:rsid w:val="4D0E26EE"/>
    <w:rsid w:val="4E000FE3"/>
    <w:rsid w:val="4E576512"/>
    <w:rsid w:val="4E5C7274"/>
    <w:rsid w:val="4E751467"/>
    <w:rsid w:val="4E9A0B0B"/>
    <w:rsid w:val="4ED93C8A"/>
    <w:rsid w:val="4FC40DF6"/>
    <w:rsid w:val="504D1985"/>
    <w:rsid w:val="50DD65A0"/>
    <w:rsid w:val="514D6D1E"/>
    <w:rsid w:val="51986D55"/>
    <w:rsid w:val="53DC50DF"/>
    <w:rsid w:val="540A692D"/>
    <w:rsid w:val="54B75D13"/>
    <w:rsid w:val="54F46459"/>
    <w:rsid w:val="552E2953"/>
    <w:rsid w:val="57580F21"/>
    <w:rsid w:val="57930117"/>
    <w:rsid w:val="58837031"/>
    <w:rsid w:val="59984021"/>
    <w:rsid w:val="5A19409B"/>
    <w:rsid w:val="5A4E6902"/>
    <w:rsid w:val="5AA918E5"/>
    <w:rsid w:val="5AB11B79"/>
    <w:rsid w:val="5B5E6DD7"/>
    <w:rsid w:val="5B8A01CE"/>
    <w:rsid w:val="5C09794B"/>
    <w:rsid w:val="5C2356CF"/>
    <w:rsid w:val="5C605DDE"/>
    <w:rsid w:val="5CFC3B75"/>
    <w:rsid w:val="5D3A6F56"/>
    <w:rsid w:val="5DD952F7"/>
    <w:rsid w:val="5E747311"/>
    <w:rsid w:val="5EF54325"/>
    <w:rsid w:val="5F6C49E9"/>
    <w:rsid w:val="603D4476"/>
    <w:rsid w:val="60B30D11"/>
    <w:rsid w:val="60D34A6F"/>
    <w:rsid w:val="611618A8"/>
    <w:rsid w:val="61E00FC6"/>
    <w:rsid w:val="61F84590"/>
    <w:rsid w:val="626C6CC7"/>
    <w:rsid w:val="636A7EF6"/>
    <w:rsid w:val="63775EC5"/>
    <w:rsid w:val="63EA167A"/>
    <w:rsid w:val="65012146"/>
    <w:rsid w:val="651C3634"/>
    <w:rsid w:val="656C51A0"/>
    <w:rsid w:val="65727C91"/>
    <w:rsid w:val="658214F3"/>
    <w:rsid w:val="65A07295"/>
    <w:rsid w:val="65E757C0"/>
    <w:rsid w:val="66213BCE"/>
    <w:rsid w:val="6793638F"/>
    <w:rsid w:val="67FA53F6"/>
    <w:rsid w:val="68C059FC"/>
    <w:rsid w:val="696C04C3"/>
    <w:rsid w:val="69825989"/>
    <w:rsid w:val="698646A3"/>
    <w:rsid w:val="699C2C89"/>
    <w:rsid w:val="6A8574B7"/>
    <w:rsid w:val="6AA355EE"/>
    <w:rsid w:val="6B626137"/>
    <w:rsid w:val="6B7D4D35"/>
    <w:rsid w:val="6B910106"/>
    <w:rsid w:val="6CEA6DDF"/>
    <w:rsid w:val="6D1872DF"/>
    <w:rsid w:val="6D9816F7"/>
    <w:rsid w:val="6E593711"/>
    <w:rsid w:val="6E7E1C89"/>
    <w:rsid w:val="6FF53544"/>
    <w:rsid w:val="6FF91BE8"/>
    <w:rsid w:val="70570DF2"/>
    <w:rsid w:val="70585696"/>
    <w:rsid w:val="71066533"/>
    <w:rsid w:val="710F55E5"/>
    <w:rsid w:val="71AA3625"/>
    <w:rsid w:val="71B10E5E"/>
    <w:rsid w:val="72140190"/>
    <w:rsid w:val="721F0C9A"/>
    <w:rsid w:val="723D6EFC"/>
    <w:rsid w:val="72925C8D"/>
    <w:rsid w:val="73347A19"/>
    <w:rsid w:val="74116A8A"/>
    <w:rsid w:val="74D52A3C"/>
    <w:rsid w:val="757F6629"/>
    <w:rsid w:val="758C2ECD"/>
    <w:rsid w:val="7592164A"/>
    <w:rsid w:val="762C4582"/>
    <w:rsid w:val="773D651D"/>
    <w:rsid w:val="77974CF6"/>
    <w:rsid w:val="77AE3A43"/>
    <w:rsid w:val="780760C1"/>
    <w:rsid w:val="78CA7BDA"/>
    <w:rsid w:val="78E6328F"/>
    <w:rsid w:val="79634F3A"/>
    <w:rsid w:val="79E165C8"/>
    <w:rsid w:val="7AF406B1"/>
    <w:rsid w:val="7B807F81"/>
    <w:rsid w:val="7C0B57A7"/>
    <w:rsid w:val="7C30549F"/>
    <w:rsid w:val="7D537911"/>
    <w:rsid w:val="7DA904F2"/>
    <w:rsid w:val="7DBF6DC1"/>
    <w:rsid w:val="7E072520"/>
    <w:rsid w:val="7EE448C1"/>
    <w:rsid w:val="7F8E676F"/>
    <w:rsid w:val="7FB04DA1"/>
    <w:rsid w:val="7FDC1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4"/>
    <w:basedOn w:val="1"/>
    <w:next w:val="3"/>
    <w:qFormat/>
    <w:uiPriority w:val="9"/>
    <w:pPr>
      <w:keepNext/>
      <w:keepLines/>
      <w:ind w:firstLine="200"/>
      <w:outlineLvl w:val="3"/>
    </w:pPr>
    <w:rPr>
      <w:rFonts w:ascii="Calibri Light" w:hAnsi="Calibri Light"/>
      <w:bCs/>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rFonts w:cs="宋体"/>
      <w:sz w:val="24"/>
    </w:rPr>
  </w:style>
  <w:style w:type="paragraph" w:styleId="3">
    <w:name w:val="Normal Indent"/>
    <w:basedOn w:val="1"/>
    <w:next w:val="4"/>
    <w:qFormat/>
    <w:uiPriority w:val="0"/>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keepNext/>
      <w:widowControl w:val="0"/>
      <w:spacing w:line="360" w:lineRule="auto"/>
    </w:pPr>
    <w:rPr>
      <w:rFonts w:eastAsia="宋体"/>
      <w:sz w:val="24"/>
    </w:rPr>
  </w:style>
  <w:style w:type="paragraph" w:styleId="7">
    <w:name w:val="Body Text"/>
    <w:basedOn w:val="1"/>
    <w:next w:val="1"/>
    <w:qFormat/>
    <w:uiPriority w:val="0"/>
    <w:pPr>
      <w:widowControl/>
      <w:snapToGrid w:val="0"/>
      <w:spacing w:before="60" w:after="160" w:line="259" w:lineRule="auto"/>
      <w:ind w:right="113"/>
    </w:pPr>
    <w:rPr>
      <w:kern w:val="0"/>
      <w:sz w:val="18"/>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character" w:styleId="11">
    <w:name w:val="annotation reference"/>
    <w:semiHidden/>
    <w:qFormat/>
    <w:uiPriority w:val="0"/>
    <w:rPr>
      <w:sz w:val="21"/>
    </w:rPr>
  </w:style>
  <w:style w:type="paragraph" w:customStyle="1" w:styleId="12">
    <w:name w:val="List Paragraph"/>
    <w:basedOn w:val="1"/>
    <w:qFormat/>
    <w:uiPriority w:val="34"/>
    <w:pPr>
      <w:ind w:firstLine="420" w:firstLineChars="200"/>
    </w:pPr>
  </w:style>
  <w:style w:type="paragraph" w:customStyle="1" w:styleId="13">
    <w:name w:val="内嵌表格"/>
    <w:basedOn w:val="7"/>
    <w:next w:val="1"/>
    <w:qFormat/>
    <w:uiPriority w:val="0"/>
    <w:pPr>
      <w:snapToGrid w:val="0"/>
      <w:spacing w:line="360" w:lineRule="exact"/>
      <w:ind w:firstLine="0" w:firstLineChars="0"/>
      <w:jc w:val="center"/>
    </w:pPr>
    <w:rPr>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986</Words>
  <Characters>1032</Characters>
  <Lines>0</Lines>
  <Paragraphs>0</Paragraphs>
  <TotalTime>0</TotalTime>
  <ScaleCrop>false</ScaleCrop>
  <LinksUpToDate>false</LinksUpToDate>
  <CharactersWithSpaces>1069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2020-05-21T08:52:00Z</cp:lastPrinted>
  <dcterms:modified xsi:type="dcterms:W3CDTF">2023-03-08T03:01:43Z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E75057561DC94CFFA974C81A9EF549AA</vt:lpwstr>
  </property>
</Properties>
</file>