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40" w:lineRule="exact"/>
        <w:jc w:val="right"/>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40" w:lineRule="exact"/>
        <w:jc w:val="right"/>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40" w:lineRule="exact"/>
        <w:jc w:val="both"/>
        <w:textAlignment w:val="auto"/>
        <w:rPr>
          <w:rFonts w:hint="eastAsia" w:ascii="仿宋_GB2312" w:hAnsi="仿宋_GB2312" w:eastAsia="仿宋_GB2312" w:cs="仿宋_GB2312"/>
          <w:sz w:val="32"/>
          <w:szCs w:val="32"/>
          <w:lang w:val="en-US" w:eastAsia="zh-CN"/>
        </w:rPr>
      </w:pPr>
    </w:p>
    <w:p>
      <w:pPr>
        <w:spacing w:line="560" w:lineRule="exact"/>
        <w:ind w:firstLine="4480" w:firstLineChars="1400"/>
        <w:rPr>
          <w:rFonts w:hint="eastAsia" w:ascii="仿宋_GB2312" w:eastAsia="仿宋_GB2312"/>
          <w:sz w:val="32"/>
          <w:szCs w:val="32"/>
        </w:rPr>
      </w:pPr>
      <w:r>
        <w:rPr>
          <w:rFonts w:hint="eastAsia" w:ascii="仿宋_GB2312" w:eastAsia="仿宋_GB2312"/>
          <w:sz w:val="32"/>
          <w:szCs w:val="32"/>
        </w:rPr>
        <w:t>鄂环鄂前环评字〔</w:t>
      </w:r>
      <w:r>
        <w:rPr>
          <w:rFonts w:hint="eastAsia" w:ascii="仿宋_GB2312" w:eastAsia="仿宋_GB2312"/>
          <w:sz w:val="32"/>
          <w:szCs w:val="32"/>
          <w:lang w:val="en-US" w:eastAsia="zh-CN"/>
        </w:rPr>
        <w:t>2023</w:t>
      </w:r>
      <w:r>
        <w:rPr>
          <w:rFonts w:hint="eastAsia" w:ascii="仿宋_GB2312" w:eastAsia="仿宋_GB2312"/>
          <w:sz w:val="32"/>
          <w:szCs w:val="32"/>
        </w:rPr>
        <w:t>〕</w:t>
      </w:r>
      <w:r>
        <w:rPr>
          <w:rFonts w:hint="eastAsia" w:ascii="仿宋_GB2312" w:eastAsia="仿宋_GB2312"/>
          <w:sz w:val="32"/>
          <w:szCs w:val="32"/>
          <w:lang w:val="en-US" w:eastAsia="zh-CN"/>
        </w:rPr>
        <w:t>10</w:t>
      </w:r>
      <w:r>
        <w:rPr>
          <w:rFonts w:hint="eastAsia" w:ascii="仿宋_GB2312" w:eastAsia="仿宋_GB2312"/>
          <w:sz w:val="32"/>
          <w:szCs w:val="32"/>
        </w:rPr>
        <w:t>号</w:t>
      </w:r>
    </w:p>
    <w:p>
      <w:pPr>
        <w:keepNext w:val="0"/>
        <w:keepLines w:val="0"/>
        <w:pageBreakBefore w:val="0"/>
        <w:widowControl w:val="0"/>
        <w:kinsoku/>
        <w:wordWrap/>
        <w:overflowPunct/>
        <w:topLinePunct w:val="0"/>
        <w:autoSpaceDE/>
        <w:autoSpaceDN/>
        <w:bidi w:val="0"/>
        <w:adjustRightInd/>
        <w:snapToGrid/>
        <w:spacing w:line="560" w:lineRule="exact"/>
        <w:ind w:firstLine="880" w:firstLineChars="200"/>
        <w:jc w:val="center"/>
        <w:textAlignment w:val="auto"/>
        <w:rPr>
          <w:rFonts w:hint="eastAsia" w:ascii="方正小标宋简体" w:eastAsia="方正小标宋简体"/>
          <w:sz w:val="44"/>
          <w:szCs w:val="44"/>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eastAsia="方正小标宋简体"/>
          <w:sz w:val="44"/>
          <w:szCs w:val="44"/>
        </w:rPr>
      </w:pPr>
      <w:r>
        <w:rPr>
          <w:rFonts w:hint="eastAsia" w:ascii="方正小标宋简体" w:eastAsia="方正小标宋简体"/>
          <w:sz w:val="44"/>
          <w:szCs w:val="44"/>
        </w:rPr>
        <w:t>鄂尔多斯市生态环境局鄂托克前旗分局关于</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eastAsia="方正小标宋简体"/>
          <w:sz w:val="44"/>
          <w:szCs w:val="44"/>
        </w:rPr>
      </w:pPr>
      <w:r>
        <w:rPr>
          <w:rFonts w:hint="eastAsia" w:ascii="方正小标宋简体" w:eastAsia="方正小标宋简体"/>
          <w:sz w:val="44"/>
          <w:szCs w:val="44"/>
        </w:rPr>
        <w:t>内蒙古贝坤能源科技研发有限公司</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eastAsia="方正小标宋简体"/>
          <w:sz w:val="44"/>
          <w:szCs w:val="44"/>
        </w:rPr>
      </w:pPr>
      <w:r>
        <w:rPr>
          <w:rFonts w:hint="eastAsia" w:ascii="方正小标宋简体" w:eastAsia="方正小标宋简体"/>
          <w:sz w:val="44"/>
          <w:szCs w:val="44"/>
        </w:rPr>
        <w:t>鄂托克前旗石英砂开采项目</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eastAsia="方正小标宋简体"/>
          <w:sz w:val="44"/>
          <w:szCs w:val="44"/>
        </w:rPr>
      </w:pPr>
      <w:r>
        <w:rPr>
          <w:rFonts w:hint="eastAsia" w:ascii="方正小标宋简体" w:eastAsia="方正小标宋简体"/>
          <w:sz w:val="44"/>
          <w:szCs w:val="44"/>
        </w:rPr>
        <w:t>环境影响报告表的批复</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sz w:val="32"/>
          <w:szCs w:val="32"/>
        </w:rPr>
      </w:pPr>
    </w:p>
    <w:p>
      <w:pPr>
        <w:keepNext w:val="0"/>
        <w:keepLines w:val="0"/>
        <w:pageBreakBefore w:val="0"/>
        <w:widowControl w:val="0"/>
        <w:kinsoku/>
        <w:wordWrap/>
        <w:overflowPunct/>
        <w:topLinePunct w:val="0"/>
        <w:autoSpaceDE/>
        <w:autoSpaceDN/>
        <w:bidi w:val="0"/>
        <w:adjustRightInd/>
        <w:snapToGrid/>
        <w:spacing w:line="580" w:lineRule="exact"/>
        <w:ind w:right="0" w:rightChars="0"/>
        <w:textAlignment w:val="auto"/>
        <w:outlineLvl w:val="9"/>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内蒙古贝坤能源科技研发有限公司：</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jc w:val="both"/>
        <w:textAlignment w:val="auto"/>
        <w:outlineLvl w:val="9"/>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你公司报送的</w:t>
      </w:r>
      <w:r>
        <w:rPr>
          <w:rFonts w:hint="eastAsia" w:ascii="仿宋_GB2312" w:hAnsi="仿宋_GB2312" w:eastAsia="仿宋_GB2312" w:cs="仿宋_GB2312"/>
          <w:b w:val="0"/>
          <w:bCs w:val="0"/>
          <w:sz w:val="32"/>
          <w:szCs w:val="32"/>
          <w:lang w:val="en-US" w:eastAsia="zh-CN"/>
        </w:rPr>
        <w:t>由内蒙古智汇恒升环保科技有限公司编制的</w:t>
      </w:r>
      <w:r>
        <w:rPr>
          <w:rFonts w:hint="eastAsia" w:ascii="仿宋_GB2312" w:hAnsi="仿宋_GB2312" w:eastAsia="仿宋_GB2312" w:cs="仿宋_GB2312"/>
          <w:b w:val="0"/>
          <w:bCs w:val="0"/>
          <w:sz w:val="32"/>
          <w:szCs w:val="32"/>
        </w:rPr>
        <w:t>《内蒙古贝坤能源科技研发有限公司鄂托克前旗石英砂开采项目环境影响报告表》（以下简称《报告表》）已收悉。经审查，现批复如下：</w:t>
      </w:r>
    </w:p>
    <w:p>
      <w:pPr>
        <w:keepNext w:val="0"/>
        <w:keepLines w:val="0"/>
        <w:pageBreakBefore w:val="0"/>
        <w:widowControl w:val="0"/>
        <w:numPr>
          <w:ilvl w:val="0"/>
          <w:numId w:val="2"/>
        </w:numPr>
        <w:kinsoku/>
        <w:wordWrap/>
        <w:overflowPunct/>
        <w:topLinePunct w:val="0"/>
        <w:autoSpaceDE/>
        <w:autoSpaceDN/>
        <w:bidi w:val="0"/>
        <w:adjustRightInd/>
        <w:snapToGrid/>
        <w:spacing w:line="580" w:lineRule="exact"/>
        <w:ind w:left="0" w:leftChars="0" w:right="0" w:rightChars="0" w:firstLine="640" w:firstLineChars="200"/>
        <w:jc w:val="both"/>
        <w:textAlignment w:val="auto"/>
        <w:outlineLvl w:val="9"/>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color w:val="000000" w:themeColor="text1"/>
          <w:sz w:val="32"/>
          <w:szCs w:val="32"/>
          <w14:textFill>
            <w14:solidFill>
              <w14:schemeClr w14:val="tx1"/>
            </w14:solidFill>
          </w14:textFill>
        </w:rPr>
        <w:t>本项目</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位于鄂托克前旗昂素镇</w:t>
      </w:r>
      <w:r>
        <w:rPr>
          <w:rFonts w:hint="eastAsia" w:ascii="仿宋_GB2312" w:hAnsi="仿宋_GB2312" w:eastAsia="仿宋_GB2312" w:cs="仿宋_GB2312"/>
          <w:b w:val="0"/>
          <w:bCs w:val="0"/>
          <w:color w:val="000000" w:themeColor="text1"/>
          <w:sz w:val="32"/>
          <w:szCs w:val="32"/>
          <w:lang w:eastAsia="zh-CN"/>
          <w14:textFill>
            <w14:solidFill>
              <w14:schemeClr w14:val="tx1"/>
            </w14:solidFill>
          </w14:textFill>
        </w:rPr>
        <w:t>，</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矿山开采方式为露天开采，矿区面积为0.0650km²，开采标高为1343～1331米，</w:t>
      </w:r>
      <w:r>
        <w:rPr>
          <w:rFonts w:hint="eastAsia" w:ascii="仿宋_GB2312" w:hAnsi="仿宋_GB2312" w:eastAsia="仿宋_GB2312" w:cs="仿宋_GB2312"/>
          <w:b w:val="0"/>
          <w:bCs w:val="0"/>
          <w:color w:val="auto"/>
          <w:sz w:val="32"/>
          <w:szCs w:val="32"/>
          <w:lang w:val="en-US" w:eastAsia="zh-CN"/>
        </w:rPr>
        <w:t>开采规模为10万m</w:t>
      </w:r>
      <w:r>
        <w:rPr>
          <w:rFonts w:hint="eastAsia" w:ascii="仿宋_GB2312" w:hAnsi="仿宋_GB2312" w:eastAsia="仿宋_GB2312" w:cs="仿宋_GB2312"/>
          <w:b w:val="0"/>
          <w:bCs w:val="0"/>
          <w:color w:val="auto"/>
          <w:sz w:val="32"/>
          <w:szCs w:val="32"/>
          <w:vertAlign w:val="superscript"/>
          <w:lang w:val="en-US" w:eastAsia="zh-CN"/>
        </w:rPr>
        <w:t>3</w:t>
      </w:r>
      <w:r>
        <w:rPr>
          <w:rFonts w:hint="eastAsia" w:ascii="仿宋_GB2312" w:hAnsi="仿宋_GB2312" w:eastAsia="仿宋_GB2312" w:cs="仿宋_GB2312"/>
          <w:b w:val="0"/>
          <w:bCs w:val="0"/>
          <w:color w:val="auto"/>
          <w:sz w:val="32"/>
          <w:szCs w:val="32"/>
          <w:lang w:val="en-US" w:eastAsia="zh-CN"/>
        </w:rPr>
        <w:t>/a，开采顺序为自上而下分台阶开采。</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矿山设计开采系统由露天采场、矿区道路等组成，本项目矿区范围内砂石全部开采，不涉及表土堆放，项目开采建筑用砂经挖掘机挖掘后直接装车拉运售卖，不涉及产品堆存。本项目的建设用于采矿证办理</w:t>
      </w:r>
      <w:r>
        <w:rPr>
          <w:rFonts w:hint="default" w:ascii="仿宋_GB2312" w:hAnsi="仿宋_GB2312" w:eastAsia="仿宋_GB2312" w:cs="仿宋_GB2312"/>
          <w:b w:val="0"/>
          <w:bCs w:val="0"/>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b w:val="0"/>
          <w:bCs w:val="0"/>
          <w:color w:val="000000" w:themeColor="text1"/>
          <w:sz w:val="32"/>
          <w:szCs w:val="32"/>
          <w14:textFill>
            <w14:solidFill>
              <w14:schemeClr w14:val="tx1"/>
            </w14:solidFill>
          </w14:textFill>
        </w:rPr>
        <w:t>项目总投资</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402.29</w:t>
      </w:r>
      <w:r>
        <w:rPr>
          <w:rFonts w:hint="eastAsia" w:ascii="仿宋_GB2312" w:hAnsi="仿宋_GB2312" w:eastAsia="仿宋_GB2312" w:cs="仿宋_GB2312"/>
          <w:b w:val="0"/>
          <w:bCs w:val="0"/>
          <w:color w:val="000000" w:themeColor="text1"/>
          <w:sz w:val="32"/>
          <w:szCs w:val="32"/>
          <w14:textFill>
            <w14:solidFill>
              <w14:schemeClr w14:val="tx1"/>
            </w14:solidFill>
          </w14:textFill>
        </w:rPr>
        <w:t>万元，其中环保投资</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32.5</w:t>
      </w:r>
      <w:r>
        <w:rPr>
          <w:rFonts w:hint="eastAsia" w:ascii="仿宋_GB2312" w:hAnsi="仿宋_GB2312" w:eastAsia="仿宋_GB2312" w:cs="仿宋_GB2312"/>
          <w:b w:val="0"/>
          <w:bCs w:val="0"/>
          <w:color w:val="000000" w:themeColor="text1"/>
          <w:sz w:val="32"/>
          <w:szCs w:val="32"/>
          <w14:textFill>
            <w14:solidFill>
              <w14:schemeClr w14:val="tx1"/>
            </w14:solidFill>
          </w14:textFill>
        </w:rPr>
        <w:t>万元，占总投资的</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8</w:t>
      </w:r>
      <w:r>
        <w:rPr>
          <w:rFonts w:hint="eastAsia" w:ascii="仿宋_GB2312" w:hAnsi="仿宋_GB2312" w:eastAsia="仿宋_GB2312" w:cs="仿宋_GB2312"/>
          <w:b w:val="0"/>
          <w:bCs w:val="0"/>
          <w:color w:val="000000" w:themeColor="text1"/>
          <w:sz w:val="32"/>
          <w:szCs w:val="32"/>
          <w14:textFill>
            <w14:solidFill>
              <w14:schemeClr w14:val="tx1"/>
            </w14:solidFill>
          </w14:textFill>
        </w:rPr>
        <w:t>%</w:t>
      </w:r>
      <w:r>
        <w:rPr>
          <w:rFonts w:hint="eastAsia" w:ascii="仿宋_GB2312" w:hAnsi="仿宋_GB2312" w:eastAsia="仿宋_GB2312" w:cs="仿宋_GB2312"/>
          <w:b w:val="0"/>
          <w:bCs w:val="0"/>
          <w:sz w:val="32"/>
          <w:szCs w:val="32"/>
        </w:rPr>
        <w:t>。</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jc w:val="both"/>
        <w:textAlignment w:val="auto"/>
        <w:outlineLvl w:val="9"/>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val="0"/>
          <w:bCs w:val="0"/>
          <w:sz w:val="32"/>
          <w:szCs w:val="32"/>
        </w:rPr>
        <w:t>《报告表》认为，在全面落实各项生态环境保护和环境污染防治措施的前提下，项目建设对环境的不利影响能够得到一定的缓解和控制。因此我局原则同意你公司按照《报告表》中所列的项目建设地点、性质、规模、工艺、防治污染和防止生态破坏的措施进行建设。</w:t>
      </w:r>
    </w:p>
    <w:p>
      <w:pPr>
        <w:keepNext w:val="0"/>
        <w:keepLines w:val="0"/>
        <w:pageBreakBefore w:val="0"/>
        <w:widowControl w:val="0"/>
        <w:numPr>
          <w:ilvl w:val="0"/>
          <w:numId w:val="0"/>
        </w:numPr>
        <w:tabs>
          <w:tab w:val="left" w:pos="585"/>
        </w:tabs>
        <w:kinsoku/>
        <w:wordWrap/>
        <w:overflowPunct/>
        <w:topLinePunct w:val="0"/>
        <w:autoSpaceDE/>
        <w:autoSpaceDN/>
        <w:bidi w:val="0"/>
        <w:adjustRightInd/>
        <w:snapToGrid/>
        <w:spacing w:line="580" w:lineRule="exact"/>
        <w:ind w:left="0" w:leftChars="0" w:right="0" w:rightChars="0" w:firstLine="640" w:firstLineChars="200"/>
        <w:jc w:val="both"/>
        <w:textAlignment w:val="auto"/>
        <w:outlineLvl w:val="9"/>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eastAsia="zh-CN"/>
        </w:rPr>
        <w:t>二、项目建设与运行管理中应</w:t>
      </w:r>
      <w:r>
        <w:rPr>
          <w:rFonts w:hint="eastAsia" w:ascii="仿宋_GB2312" w:hAnsi="仿宋_GB2312" w:eastAsia="仿宋_GB2312" w:cs="仿宋_GB2312"/>
          <w:b w:val="0"/>
          <w:bCs w:val="0"/>
          <w:sz w:val="32"/>
          <w:szCs w:val="32"/>
        </w:rPr>
        <w:t>重点做好</w:t>
      </w:r>
      <w:r>
        <w:rPr>
          <w:rFonts w:hint="eastAsia" w:ascii="仿宋_GB2312" w:hAnsi="仿宋_GB2312" w:eastAsia="仿宋_GB2312" w:cs="仿宋_GB2312"/>
          <w:b w:val="0"/>
          <w:bCs w:val="0"/>
          <w:sz w:val="32"/>
          <w:szCs w:val="32"/>
          <w:lang w:eastAsia="zh-CN"/>
        </w:rPr>
        <w:t>的</w:t>
      </w:r>
      <w:r>
        <w:rPr>
          <w:rFonts w:hint="eastAsia" w:ascii="仿宋_GB2312" w:hAnsi="仿宋_GB2312" w:eastAsia="仿宋_GB2312" w:cs="仿宋_GB2312"/>
          <w:b w:val="0"/>
          <w:bCs w:val="0"/>
          <w:sz w:val="32"/>
          <w:szCs w:val="32"/>
        </w:rPr>
        <w:t>工作：</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b w:val="0"/>
          <w:bCs w:val="0"/>
          <w:sz w:val="32"/>
          <w:szCs w:val="32"/>
          <w:lang w:val="en-US" w:eastAsia="zh-CN"/>
        </w:rPr>
        <w:t>1、</w:t>
      </w:r>
      <w:r>
        <w:rPr>
          <w:rFonts w:hint="eastAsia" w:ascii="仿宋_GB2312" w:hAnsi="仿宋_GB2312" w:eastAsia="仿宋_GB2312" w:cs="仿宋_GB2312"/>
          <w:sz w:val="32"/>
          <w:szCs w:val="32"/>
          <w:lang w:val="en-US" w:eastAsia="zh-CN"/>
        </w:rPr>
        <w:t>加强施工期环境管理。应严格按照设计要求施工，并将各种施工活动控制在施工作业带范围内，严禁乱砍滥伐、随处取弃土；施工现场应采取施工围挡、场地硬化、防尘网覆盖、洒水抑尘等有效措施控制施工扬尘污染；加强对运输车辆的密闭管理，并采取洒水、道路硬化等有效措施控制道路扬尘污染；粉状物料应全封闭存放；大风沙尘天气禁止施工</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设备冲洗废水用于施工场地抑尘洒水，生活污水经化粪池收集后运至附近污水处理厂集中处理。合理安排施工作业时间，禁止夜间施工；采取减振、隔声等噪声污染防治措施，确保噪声满足《建筑施工场界环境噪声排放标准》（GB12523－2011）中要求。生活垃圾集中收集后由环卫部门统一处理；</w:t>
      </w:r>
      <w:r>
        <w:rPr>
          <w:rFonts w:hint="eastAsia" w:ascii="仿宋_GB2312" w:hAnsi="仿宋_GB2312" w:eastAsia="仿宋_GB2312" w:cs="仿宋_GB2312"/>
          <w:sz w:val="32"/>
          <w:szCs w:val="32"/>
          <w:lang w:val="en-US" w:eastAsia="zh-CN"/>
        </w:rPr>
        <w:t>对不可利用的废弃物应及时清运至政府部门指定的场所统一处置，</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不得随意丢弃。</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textAlignment w:val="auto"/>
        <w:rPr>
          <w:rFonts w:hint="default" w:ascii="仿宋_GB2312" w:hAnsi="仿宋_GB2312" w:eastAsia="仿宋_GB2312" w:cs="仿宋_GB2312"/>
          <w:b w:val="0"/>
          <w:bCs w:val="0"/>
          <w:sz w:val="32"/>
          <w:szCs w:val="32"/>
          <w:lang w:val="en-US" w:eastAsia="zh-CN"/>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落实废气污染防治措施。做好露天采场扬尘污染防治措施，装车操作时采用喷雾洒水降尘等有效措施防止扬尘污染；运输道路须硬化，并加强对运输车辆的密闭管理。</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right="0" w:rightChars="0" w:firstLine="640" w:firstLineChars="200"/>
        <w:jc w:val="both"/>
        <w:textAlignment w:val="auto"/>
        <w:outlineLvl w:val="9"/>
        <w:rPr>
          <w:rFonts w:hint="default"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落实废水污染防治措施。生活污水经化粪池收集后运至附近污水处理厂集中处理，不得外排。按照</w:t>
      </w:r>
      <w:r>
        <w:rPr>
          <w:rFonts w:hint="eastAsia" w:ascii="仿宋_GB2312" w:hAnsi="仿宋_GB2312" w:eastAsia="仿宋_GB2312" w:cs="仿宋_GB2312"/>
          <w:b w:val="0"/>
          <w:bCs w:val="0"/>
          <w:sz w:val="32"/>
          <w:szCs w:val="32"/>
        </w:rPr>
        <w:t>《报告表》</w:t>
      </w:r>
      <w:r>
        <w:rPr>
          <w:rFonts w:hint="eastAsia" w:ascii="仿宋_GB2312" w:hAnsi="仿宋_GB2312" w:eastAsia="仿宋_GB2312" w:cs="仿宋_GB2312"/>
          <w:b w:val="0"/>
          <w:bCs w:val="0"/>
          <w:sz w:val="32"/>
          <w:szCs w:val="32"/>
          <w:lang w:val="en-US" w:eastAsia="zh-CN"/>
        </w:rPr>
        <w:t>要求，针对项目特定区域采取分区防渗措施。</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right="0" w:rightChars="0" w:firstLine="640" w:firstLineChars="200"/>
        <w:jc w:val="both"/>
        <w:textAlignment w:val="auto"/>
        <w:outlineLvl w:val="9"/>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4、落实噪声污染防治措施。采取选用低噪声设备、基础减振、限制车速等有效措施，确保厂界噪声满足《工业企业厂界环境噪声排放标准》（GB 12348-2008）2类标准限值。</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right="0" w:rightChars="0" w:firstLine="640" w:firstLineChars="200"/>
        <w:jc w:val="both"/>
        <w:textAlignment w:val="auto"/>
        <w:outlineLvl w:val="9"/>
        <w:rPr>
          <w:rFonts w:hint="default"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5、</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妥善处置各类固体废弃物。建设单位应按照“减量化、资源化、无害化”原则，对固体废物进行分类收集、处理和处置，确保不造成二次污染。各类固废严格按照《一般工业固体废物贮存和填埋场污染控制标准》（GB18599-2020）要求，分类做好存贮和安全处置。</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right="0" w:rightChars="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6、强化生态保护工作。尽量缩短施工期，减少施工期对生态环境的不利影响。采取有效的防护措施，加强边坡的稳定性。认真落实</w:t>
      </w:r>
      <w:r>
        <w:rPr>
          <w:rFonts w:hint="eastAsia" w:ascii="仿宋_GB2312" w:hAnsi="仿宋_GB2312" w:eastAsia="仿宋_GB2312" w:cs="仿宋_GB2312"/>
          <w:b w:val="0"/>
          <w:bCs w:val="0"/>
          <w:sz w:val="32"/>
          <w:szCs w:val="32"/>
        </w:rPr>
        <w:t>《报告表》</w:t>
      </w:r>
      <w:r>
        <w:rPr>
          <w:rFonts w:hint="eastAsia" w:ascii="仿宋_GB2312" w:hAnsi="仿宋_GB2312" w:eastAsia="仿宋_GB2312" w:cs="仿宋_GB2312"/>
          <w:b w:val="0"/>
          <w:bCs w:val="0"/>
          <w:sz w:val="32"/>
          <w:szCs w:val="32"/>
          <w:lang w:val="en-US" w:eastAsia="zh-CN"/>
        </w:rPr>
        <w:t>提出的施工期和运营期各项生态保护措施</w:t>
      </w:r>
      <w:r>
        <w:rPr>
          <w:rFonts w:hint="eastAsia" w:ascii="仿宋_GB2312" w:hAnsi="仿宋_GB2312" w:eastAsia="仿宋_GB2312" w:cs="仿宋_GB2312"/>
          <w:sz w:val="32"/>
          <w:szCs w:val="32"/>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right="0" w:rightChars="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7、</w:t>
      </w:r>
      <w:r>
        <w:rPr>
          <w:rFonts w:hint="default" w:ascii="仿宋_GB2312" w:hAnsi="仿宋_GB2312" w:eastAsia="仿宋_GB2312" w:cs="仿宋_GB2312"/>
          <w:sz w:val="32"/>
          <w:szCs w:val="32"/>
          <w:lang w:val="en-US" w:eastAsia="zh-CN"/>
        </w:rPr>
        <w:t>落实环境风险防范措施和安全生产措施。</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制定完善的环境风险应急预案，落实环境风险事故防范措施，提高事故风险防范和污染控制能力</w:t>
      </w:r>
      <w:r>
        <w:rPr>
          <w:rFonts w:hint="default" w:ascii="仿宋_GB2312" w:hAnsi="仿宋_GB2312" w:eastAsia="仿宋_GB2312" w:cs="仿宋_GB2312"/>
          <w:sz w:val="32"/>
          <w:szCs w:val="32"/>
          <w:lang w:val="en-US" w:eastAsia="zh-CN"/>
        </w:rPr>
        <w:t>。</w:t>
      </w:r>
    </w:p>
    <w:p>
      <w:pPr>
        <w:keepNext w:val="0"/>
        <w:keepLines w:val="0"/>
        <w:pageBreakBefore w:val="0"/>
        <w:widowControl w:val="0"/>
        <w:kinsoku/>
        <w:wordWrap/>
        <w:overflowPunct/>
        <w:topLinePunct w:val="0"/>
        <w:autoSpaceDE/>
        <w:autoSpaceDN/>
        <w:bidi w:val="0"/>
        <w:adjustRightInd/>
        <w:snapToGrid/>
        <w:spacing w:line="580" w:lineRule="exact"/>
        <w:ind w:right="0" w:rightChars="0" w:firstLine="640" w:firstLineChars="200"/>
        <w:jc w:val="both"/>
        <w:textAlignment w:val="auto"/>
        <w:outlineLvl w:val="9"/>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val="0"/>
          <w:bCs w:val="0"/>
          <w:sz w:val="32"/>
          <w:szCs w:val="32"/>
          <w:lang w:eastAsia="zh-CN"/>
        </w:rPr>
        <w:t>三、项目建设必须严格执行配套环境保护设施与主体工程同时设计、同时施工、同时投产使用的环境保护“三同时”制度。项目竣工后，须按照规定程序实施竣工环境保护验收。我局委托鄂托克前旗生态环境综合行政执法大队做好施工期和运营期日常监管工作。</w:t>
      </w:r>
    </w:p>
    <w:p>
      <w:pPr>
        <w:keepNext w:val="0"/>
        <w:keepLines w:val="0"/>
        <w:pageBreakBefore w:val="0"/>
        <w:widowControl w:val="0"/>
        <w:kinsoku/>
        <w:wordWrap/>
        <w:overflowPunct/>
        <w:topLinePunct w:val="0"/>
        <w:autoSpaceDE/>
        <w:autoSpaceDN/>
        <w:bidi w:val="0"/>
        <w:adjustRightInd/>
        <w:snapToGrid/>
        <w:spacing w:line="580" w:lineRule="exact"/>
        <w:ind w:right="0" w:rightChars="0" w:firstLine="640" w:firstLineChars="200"/>
        <w:jc w:val="both"/>
        <w:textAlignment w:val="auto"/>
        <w:outlineLvl w:val="9"/>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val="0"/>
          <w:bCs w:val="0"/>
          <w:sz w:val="32"/>
          <w:szCs w:val="32"/>
          <w:lang w:eastAsia="zh-CN"/>
        </w:rPr>
        <w:t>四、该项目自批准之日起超过5年方决定开工建设，其环评文件应重新审核。如果项目建设地点、性质、规模、工艺、防治污染和防止生态破坏的措施等发生重大变化时，重新报批环境影响价文件。</w:t>
      </w:r>
    </w:p>
    <w:p>
      <w:pPr>
        <w:keepNext w:val="0"/>
        <w:keepLines w:val="0"/>
        <w:pageBreakBefore w:val="0"/>
        <w:widowControl w:val="0"/>
        <w:kinsoku/>
        <w:wordWrap/>
        <w:overflowPunct/>
        <w:topLinePunct w:val="0"/>
        <w:autoSpaceDE/>
        <w:autoSpaceDN/>
        <w:bidi w:val="0"/>
        <w:adjustRightInd/>
        <w:snapToGrid/>
        <w:spacing w:line="580" w:lineRule="exact"/>
        <w:ind w:right="0" w:rightChars="0" w:firstLine="640" w:firstLineChars="200"/>
        <w:jc w:val="both"/>
        <w:textAlignment w:val="auto"/>
        <w:outlineLvl w:val="9"/>
        <w:rPr>
          <w:rFonts w:hint="eastAsia" w:ascii="仿宋_GB2312" w:hAnsi="仿宋_GB2312" w:eastAsia="仿宋_GB2312" w:cs="仿宋_GB2312"/>
          <w:b w:val="0"/>
          <w:bCs w:val="0"/>
          <w:sz w:val="32"/>
          <w:szCs w:val="32"/>
          <w:lang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2880" w:firstLineChars="9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鄂尔多斯市生态环境局鄂托克前旗分局</w:t>
      </w:r>
    </w:p>
    <w:p>
      <w:pPr>
        <w:keepNext w:val="0"/>
        <w:keepLines w:val="0"/>
        <w:pageBreakBefore w:val="0"/>
        <w:widowControl w:val="0"/>
        <w:kinsoku/>
        <w:wordWrap/>
        <w:overflowPunct/>
        <w:topLinePunct w:val="0"/>
        <w:autoSpaceDE/>
        <w:autoSpaceDN/>
        <w:bidi w:val="0"/>
        <w:adjustRightInd/>
        <w:snapToGrid/>
        <w:spacing w:line="560" w:lineRule="exact"/>
        <w:ind w:firstLine="4800" w:firstLineChars="15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2023</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27</w:t>
      </w:r>
      <w:r>
        <w:rPr>
          <w:rFonts w:hint="eastAsia" w:ascii="仿宋_GB2312" w:hAnsi="仿宋_GB2312" w:eastAsia="仿宋_GB2312" w:cs="仿宋_GB2312"/>
          <w:sz w:val="32"/>
          <w:szCs w:val="32"/>
        </w:rPr>
        <w:t>日</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lang w:val="en-US" w:eastAsia="zh-CN"/>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tbl>
      <w:tblPr>
        <w:tblStyle w:val="8"/>
        <w:tblpPr w:leftFromText="180" w:rightFromText="180" w:vertAnchor="text" w:horzAnchor="page" w:tblpX="1562" w:tblpY="3224"/>
        <w:tblOverlap w:val="never"/>
        <w:tblW w:w="9060" w:type="dxa"/>
        <w:tblInd w:w="0" w:type="dxa"/>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9060"/>
      </w:tblGrid>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9060" w:type="dxa"/>
          </w:tcPr>
          <w:p>
            <w:pPr>
              <w:keepNext w:val="0"/>
              <w:keepLines w:val="0"/>
              <w:pageBreakBefore w:val="0"/>
              <w:widowControl w:val="0"/>
              <w:kinsoku/>
              <w:wordWrap/>
              <w:overflowPunct/>
              <w:topLinePunct w:val="0"/>
              <w:autoSpaceDE/>
              <w:autoSpaceDN/>
              <w:bidi w:val="0"/>
              <w:adjustRightInd/>
              <w:snapToGrid/>
              <w:spacing w:line="560" w:lineRule="exact"/>
              <w:ind w:right="0" w:rightChars="0"/>
              <w:textAlignment w:val="auto"/>
              <w:outlineLvl w:val="9"/>
              <w:rPr>
                <w:rFonts w:hint="eastAsia" w:ascii="仿宋_GB2312" w:hAnsi="仿宋_GB2312" w:eastAsia="仿宋_GB2312" w:cs="仿宋_GB2312"/>
                <w:b w:val="0"/>
                <w:bCs w:val="0"/>
                <w:sz w:val="28"/>
                <w:szCs w:val="28"/>
                <w:lang w:eastAsia="zh-CN"/>
              </w:rPr>
            </w:pPr>
            <w:r>
              <w:rPr>
                <w:rFonts w:hint="eastAsia" w:ascii="仿宋_GB2312" w:hAnsi="仿宋_GB2312" w:eastAsia="仿宋_GB2312" w:cs="仿宋_GB2312"/>
                <w:b w:val="0"/>
                <w:bCs w:val="0"/>
                <w:sz w:val="28"/>
                <w:szCs w:val="28"/>
                <w:lang w:eastAsia="zh-CN"/>
              </w:rPr>
              <w:t>抄送：鄂托克前旗生态环境综合行政执法大队</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9060" w:type="dxa"/>
          </w:tcPr>
          <w:p>
            <w:pPr>
              <w:keepNext w:val="0"/>
              <w:keepLines w:val="0"/>
              <w:pageBreakBefore w:val="0"/>
              <w:widowControl w:val="0"/>
              <w:kinsoku/>
              <w:wordWrap/>
              <w:overflowPunct/>
              <w:topLinePunct w:val="0"/>
              <w:autoSpaceDE/>
              <w:autoSpaceDN/>
              <w:bidi w:val="0"/>
              <w:adjustRightInd/>
              <w:snapToGrid/>
              <w:spacing w:line="560" w:lineRule="exact"/>
              <w:ind w:right="0" w:rightChars="0"/>
              <w:jc w:val="both"/>
              <w:textAlignment w:val="auto"/>
              <w:outlineLvl w:val="9"/>
              <w:rPr>
                <w:rFonts w:hint="eastAsia" w:ascii="仿宋_GB2312" w:hAnsi="仿宋_GB2312" w:eastAsia="仿宋_GB2312" w:cs="仿宋_GB2312"/>
                <w:b w:val="0"/>
                <w:bCs w:val="0"/>
                <w:sz w:val="28"/>
                <w:szCs w:val="28"/>
                <w:lang w:eastAsia="zh-CN"/>
              </w:rPr>
            </w:pPr>
            <w:r>
              <w:rPr>
                <w:rFonts w:hint="eastAsia" w:ascii="仿宋_GB2312" w:hAnsi="仿宋_GB2312" w:eastAsia="仿宋_GB2312" w:cs="仿宋_GB2312"/>
                <w:b w:val="0"/>
                <w:bCs w:val="0"/>
                <w:sz w:val="28"/>
                <w:szCs w:val="28"/>
                <w:lang w:eastAsia="zh-CN"/>
              </w:rPr>
              <w:t xml:space="preserve">鄂尔多斯市生态环境局鄂托克前旗分局        </w:t>
            </w:r>
            <w:r>
              <w:rPr>
                <w:rFonts w:hint="eastAsia" w:ascii="仿宋_GB2312" w:hAnsi="仿宋_GB2312" w:eastAsia="仿宋_GB2312" w:cs="仿宋_GB2312"/>
                <w:b w:val="0"/>
                <w:bCs w:val="0"/>
                <w:color w:val="000000" w:themeColor="text1"/>
                <w:sz w:val="28"/>
                <w:szCs w:val="28"/>
                <w:lang w:val="en-US" w:eastAsia="zh-CN"/>
                <w14:textFill>
                  <w14:solidFill>
                    <w14:schemeClr w14:val="tx1"/>
                  </w14:solidFill>
                </w14:textFill>
              </w:rPr>
              <w:t xml:space="preserve"> 2023</w:t>
            </w:r>
            <w:r>
              <w:rPr>
                <w:rFonts w:hint="eastAsia" w:ascii="仿宋_GB2312" w:hAnsi="仿宋_GB2312" w:eastAsia="仿宋_GB2312" w:cs="仿宋_GB2312"/>
                <w:b w:val="0"/>
                <w:bCs w:val="0"/>
                <w:color w:val="000000" w:themeColor="text1"/>
                <w:sz w:val="28"/>
                <w:szCs w:val="28"/>
                <w:lang w:eastAsia="zh-CN"/>
                <w14:textFill>
                  <w14:solidFill>
                    <w14:schemeClr w14:val="tx1"/>
                  </w14:solidFill>
                </w14:textFill>
              </w:rPr>
              <w:t>年</w:t>
            </w:r>
            <w:r>
              <w:rPr>
                <w:rFonts w:hint="eastAsia" w:ascii="仿宋_GB2312" w:hAnsi="仿宋_GB2312" w:eastAsia="仿宋_GB2312" w:cs="仿宋_GB2312"/>
                <w:b w:val="0"/>
                <w:bCs w:val="0"/>
                <w:color w:val="000000" w:themeColor="text1"/>
                <w:sz w:val="28"/>
                <w:szCs w:val="28"/>
                <w:lang w:val="en-US" w:eastAsia="zh-CN"/>
                <w14:textFill>
                  <w14:solidFill>
                    <w14:schemeClr w14:val="tx1"/>
                  </w14:solidFill>
                </w14:textFill>
              </w:rPr>
              <w:t>4</w:t>
            </w:r>
            <w:r>
              <w:rPr>
                <w:rFonts w:hint="eastAsia" w:ascii="仿宋_GB2312" w:hAnsi="仿宋_GB2312" w:eastAsia="仿宋_GB2312" w:cs="仿宋_GB2312"/>
                <w:b w:val="0"/>
                <w:bCs w:val="0"/>
                <w:color w:val="000000" w:themeColor="text1"/>
                <w:sz w:val="28"/>
                <w:szCs w:val="28"/>
                <w:lang w:eastAsia="zh-CN"/>
                <w14:textFill>
                  <w14:solidFill>
                    <w14:schemeClr w14:val="tx1"/>
                  </w14:solidFill>
                </w14:textFill>
              </w:rPr>
              <w:t>月</w:t>
            </w:r>
            <w:r>
              <w:rPr>
                <w:rFonts w:hint="eastAsia" w:ascii="仿宋_GB2312" w:hAnsi="仿宋_GB2312" w:eastAsia="仿宋_GB2312" w:cs="仿宋_GB2312"/>
                <w:b w:val="0"/>
                <w:bCs w:val="0"/>
                <w:color w:val="000000" w:themeColor="text1"/>
                <w:sz w:val="28"/>
                <w:szCs w:val="28"/>
                <w:lang w:val="en-US" w:eastAsia="zh-CN"/>
                <w14:textFill>
                  <w14:solidFill>
                    <w14:schemeClr w14:val="tx1"/>
                  </w14:solidFill>
                </w14:textFill>
              </w:rPr>
              <w:t>27</w:t>
            </w:r>
            <w:r>
              <w:rPr>
                <w:rFonts w:hint="eastAsia" w:ascii="仿宋_GB2312" w:hAnsi="仿宋_GB2312" w:eastAsia="仿宋_GB2312" w:cs="仿宋_GB2312"/>
                <w:b w:val="0"/>
                <w:bCs w:val="0"/>
                <w:color w:val="000000" w:themeColor="text1"/>
                <w:sz w:val="28"/>
                <w:szCs w:val="28"/>
                <w:lang w:eastAsia="zh-CN"/>
                <w14:textFill>
                  <w14:solidFill>
                    <w14:schemeClr w14:val="tx1"/>
                  </w14:solidFill>
                </w14:textFill>
              </w:rPr>
              <w:t>日印发</w:t>
            </w:r>
          </w:p>
        </w:tc>
      </w:tr>
    </w:tbl>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bookmarkStart w:id="0" w:name="_GoBack"/>
      <w:bookmarkEnd w:id="0"/>
    </w:p>
    <w:sectPr>
      <w:pgSz w:w="11906" w:h="16838"/>
      <w:pgMar w:top="2098" w:right="1474" w:bottom="181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F1934FF"/>
    <w:multiLevelType w:val="singleLevel"/>
    <w:tmpl w:val="BF1934FF"/>
    <w:lvl w:ilvl="0" w:tentative="0">
      <w:start w:val="1"/>
      <w:numFmt w:val="bullet"/>
      <w:pStyle w:val="3"/>
      <w:lvlText w:val=""/>
      <w:lvlJc w:val="left"/>
      <w:pPr>
        <w:tabs>
          <w:tab w:val="left" w:pos="2040"/>
        </w:tabs>
        <w:ind w:left="2040" w:hanging="360"/>
      </w:pPr>
      <w:rPr>
        <w:rFonts w:hint="default" w:ascii="Wingdings" w:hAnsi="Wingdings"/>
      </w:rPr>
    </w:lvl>
  </w:abstractNum>
  <w:abstractNum w:abstractNumId="1">
    <w:nsid w:val="2C28288E"/>
    <w:multiLevelType w:val="singleLevel"/>
    <w:tmpl w:val="2C28288E"/>
    <w:lvl w:ilvl="0" w:tentative="0">
      <w:start w:val="1"/>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7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MyZDY1ZWNhMGNiOWFiMzA3YmY4MjM4ZmExOWI2OTQifQ=="/>
  </w:docVars>
  <w:rsids>
    <w:rsidRoot w:val="699C2C89"/>
    <w:rsid w:val="01365766"/>
    <w:rsid w:val="01E8026D"/>
    <w:rsid w:val="02416FE3"/>
    <w:rsid w:val="029021DB"/>
    <w:rsid w:val="030E2A71"/>
    <w:rsid w:val="03CE73C1"/>
    <w:rsid w:val="042633AF"/>
    <w:rsid w:val="045C7494"/>
    <w:rsid w:val="046935BE"/>
    <w:rsid w:val="04A83C7C"/>
    <w:rsid w:val="05455673"/>
    <w:rsid w:val="05A84572"/>
    <w:rsid w:val="05EB3B5E"/>
    <w:rsid w:val="06293230"/>
    <w:rsid w:val="08716E9D"/>
    <w:rsid w:val="09680FFD"/>
    <w:rsid w:val="097E7A96"/>
    <w:rsid w:val="0A8533BF"/>
    <w:rsid w:val="0A963457"/>
    <w:rsid w:val="0BFD15CD"/>
    <w:rsid w:val="0C832F9D"/>
    <w:rsid w:val="0C871385"/>
    <w:rsid w:val="0CF63E15"/>
    <w:rsid w:val="0DCD1055"/>
    <w:rsid w:val="0DEC1CEE"/>
    <w:rsid w:val="0E7D4E26"/>
    <w:rsid w:val="0ED105F3"/>
    <w:rsid w:val="0F326990"/>
    <w:rsid w:val="0F800043"/>
    <w:rsid w:val="0FFE65CF"/>
    <w:rsid w:val="10E7210E"/>
    <w:rsid w:val="1160668B"/>
    <w:rsid w:val="126F5E17"/>
    <w:rsid w:val="13C253D7"/>
    <w:rsid w:val="13D604FC"/>
    <w:rsid w:val="153043A6"/>
    <w:rsid w:val="1532440A"/>
    <w:rsid w:val="16AB6934"/>
    <w:rsid w:val="16DC7511"/>
    <w:rsid w:val="1800154B"/>
    <w:rsid w:val="183E0E52"/>
    <w:rsid w:val="187D7217"/>
    <w:rsid w:val="19A52D79"/>
    <w:rsid w:val="1B3A0F19"/>
    <w:rsid w:val="1C0527D0"/>
    <w:rsid w:val="1C456101"/>
    <w:rsid w:val="1CFB21F8"/>
    <w:rsid w:val="1D2B3163"/>
    <w:rsid w:val="1DD73546"/>
    <w:rsid w:val="201447CA"/>
    <w:rsid w:val="209133F4"/>
    <w:rsid w:val="2133507B"/>
    <w:rsid w:val="21CA7725"/>
    <w:rsid w:val="22883A2C"/>
    <w:rsid w:val="23601B63"/>
    <w:rsid w:val="24197FBD"/>
    <w:rsid w:val="243407C8"/>
    <w:rsid w:val="25936293"/>
    <w:rsid w:val="26414C9A"/>
    <w:rsid w:val="2677791D"/>
    <w:rsid w:val="27941D44"/>
    <w:rsid w:val="27D33999"/>
    <w:rsid w:val="2BE677DE"/>
    <w:rsid w:val="2C0B272C"/>
    <w:rsid w:val="2C8F0800"/>
    <w:rsid w:val="2D13164D"/>
    <w:rsid w:val="2D3220F3"/>
    <w:rsid w:val="2D364384"/>
    <w:rsid w:val="2DB22541"/>
    <w:rsid w:val="2E05114C"/>
    <w:rsid w:val="303033B7"/>
    <w:rsid w:val="30341CA9"/>
    <w:rsid w:val="307921FD"/>
    <w:rsid w:val="314762A3"/>
    <w:rsid w:val="31B41641"/>
    <w:rsid w:val="31E46A1B"/>
    <w:rsid w:val="327918E4"/>
    <w:rsid w:val="32B1065A"/>
    <w:rsid w:val="33DB0411"/>
    <w:rsid w:val="33F7209D"/>
    <w:rsid w:val="36B6463D"/>
    <w:rsid w:val="37C63D34"/>
    <w:rsid w:val="37E63B33"/>
    <w:rsid w:val="37F90FA0"/>
    <w:rsid w:val="382020C3"/>
    <w:rsid w:val="3B10016E"/>
    <w:rsid w:val="3C0B7B85"/>
    <w:rsid w:val="3C945435"/>
    <w:rsid w:val="3CAD0B5D"/>
    <w:rsid w:val="3D2346BE"/>
    <w:rsid w:val="3D6959DB"/>
    <w:rsid w:val="3D7309E6"/>
    <w:rsid w:val="3DC612B6"/>
    <w:rsid w:val="3DCB0822"/>
    <w:rsid w:val="3E593D44"/>
    <w:rsid w:val="3F7943B3"/>
    <w:rsid w:val="40957CAC"/>
    <w:rsid w:val="435A7802"/>
    <w:rsid w:val="438551FF"/>
    <w:rsid w:val="441135E0"/>
    <w:rsid w:val="44292184"/>
    <w:rsid w:val="45032468"/>
    <w:rsid w:val="45804310"/>
    <w:rsid w:val="45E96615"/>
    <w:rsid w:val="463F1BA2"/>
    <w:rsid w:val="469E06E9"/>
    <w:rsid w:val="46B502C1"/>
    <w:rsid w:val="47250996"/>
    <w:rsid w:val="477261B2"/>
    <w:rsid w:val="47835CCA"/>
    <w:rsid w:val="48AB77EB"/>
    <w:rsid w:val="490F2022"/>
    <w:rsid w:val="492D1028"/>
    <w:rsid w:val="4977377A"/>
    <w:rsid w:val="49D74599"/>
    <w:rsid w:val="4A046671"/>
    <w:rsid w:val="4A214813"/>
    <w:rsid w:val="4B172583"/>
    <w:rsid w:val="4BB774B2"/>
    <w:rsid w:val="4C4D3E7A"/>
    <w:rsid w:val="4C7607B0"/>
    <w:rsid w:val="4D0E26EE"/>
    <w:rsid w:val="4E170043"/>
    <w:rsid w:val="4E654609"/>
    <w:rsid w:val="4F4637A5"/>
    <w:rsid w:val="4FBC621D"/>
    <w:rsid w:val="4FC40DF6"/>
    <w:rsid w:val="50002B2E"/>
    <w:rsid w:val="504D1985"/>
    <w:rsid w:val="506622ED"/>
    <w:rsid w:val="51C82C96"/>
    <w:rsid w:val="53C41577"/>
    <w:rsid w:val="54B75D13"/>
    <w:rsid w:val="555B64D8"/>
    <w:rsid w:val="55EC35D4"/>
    <w:rsid w:val="56C74A68"/>
    <w:rsid w:val="574F2C52"/>
    <w:rsid w:val="57930117"/>
    <w:rsid w:val="57E07054"/>
    <w:rsid w:val="58147356"/>
    <w:rsid w:val="589C45D1"/>
    <w:rsid w:val="58C919AA"/>
    <w:rsid w:val="5A19409B"/>
    <w:rsid w:val="5BCB6837"/>
    <w:rsid w:val="5C09794B"/>
    <w:rsid w:val="5C2356CF"/>
    <w:rsid w:val="5C3E49F7"/>
    <w:rsid w:val="5C605DDE"/>
    <w:rsid w:val="5CFC3B75"/>
    <w:rsid w:val="5D0B7780"/>
    <w:rsid w:val="5DD952F7"/>
    <w:rsid w:val="5E4D4B33"/>
    <w:rsid w:val="5E747311"/>
    <w:rsid w:val="5F5943A7"/>
    <w:rsid w:val="60421B63"/>
    <w:rsid w:val="60B30D11"/>
    <w:rsid w:val="60C360BC"/>
    <w:rsid w:val="60FD1318"/>
    <w:rsid w:val="61F84590"/>
    <w:rsid w:val="62700749"/>
    <w:rsid w:val="638C77B1"/>
    <w:rsid w:val="65012146"/>
    <w:rsid w:val="65687ADE"/>
    <w:rsid w:val="65E757C0"/>
    <w:rsid w:val="67FA53F6"/>
    <w:rsid w:val="68F14127"/>
    <w:rsid w:val="696C04C3"/>
    <w:rsid w:val="699C2C89"/>
    <w:rsid w:val="6B7D4D35"/>
    <w:rsid w:val="6C642632"/>
    <w:rsid w:val="6DD2469D"/>
    <w:rsid w:val="6E7E1C89"/>
    <w:rsid w:val="6E9E3E26"/>
    <w:rsid w:val="6F8A0689"/>
    <w:rsid w:val="6FF15BC1"/>
    <w:rsid w:val="6FF53544"/>
    <w:rsid w:val="710F55E5"/>
    <w:rsid w:val="71DB20DB"/>
    <w:rsid w:val="72140190"/>
    <w:rsid w:val="721F0C9A"/>
    <w:rsid w:val="727442DD"/>
    <w:rsid w:val="73347A19"/>
    <w:rsid w:val="73483BC3"/>
    <w:rsid w:val="74031DBD"/>
    <w:rsid w:val="74116A8A"/>
    <w:rsid w:val="74B25FB0"/>
    <w:rsid w:val="756D0FD9"/>
    <w:rsid w:val="762C4582"/>
    <w:rsid w:val="7706409E"/>
    <w:rsid w:val="77A06F50"/>
    <w:rsid w:val="77AE3A43"/>
    <w:rsid w:val="78E576E0"/>
    <w:rsid w:val="79634F3A"/>
    <w:rsid w:val="79A36AC1"/>
    <w:rsid w:val="7A794B87"/>
    <w:rsid w:val="7B607AF4"/>
    <w:rsid w:val="7C48648F"/>
    <w:rsid w:val="7C4D62CB"/>
    <w:rsid w:val="7CDB4D0A"/>
    <w:rsid w:val="7F537D69"/>
    <w:rsid w:val="7FB17D9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qFormat="1"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Body Text"/>
    <w:basedOn w:val="1"/>
    <w:next w:val="3"/>
    <w:qFormat/>
    <w:uiPriority w:val="0"/>
    <w:pPr>
      <w:widowControl/>
      <w:snapToGrid w:val="0"/>
      <w:spacing w:before="60" w:after="160" w:line="259" w:lineRule="auto"/>
      <w:ind w:right="113"/>
    </w:pPr>
    <w:rPr>
      <w:kern w:val="0"/>
      <w:sz w:val="18"/>
      <w:szCs w:val="20"/>
    </w:rPr>
  </w:style>
  <w:style w:type="paragraph" w:styleId="3">
    <w:name w:val="List Bullet 5"/>
    <w:basedOn w:val="1"/>
    <w:qFormat/>
    <w:uiPriority w:val="0"/>
    <w:pPr>
      <w:numPr>
        <w:ilvl w:val="0"/>
        <w:numId w:val="1"/>
      </w:numPr>
    </w:pPr>
  </w:style>
  <w:style w:type="paragraph" w:styleId="4">
    <w:name w:val="Body Text Indent"/>
    <w:basedOn w:val="1"/>
    <w:next w:val="1"/>
    <w:qFormat/>
    <w:uiPriority w:val="0"/>
    <w:pPr>
      <w:spacing w:after="120"/>
      <w:ind w:left="420" w:leftChars="200"/>
    </w:pPr>
    <w:rPr>
      <w:kern w:val="0"/>
      <w:szCs w:val="20"/>
    </w:rPr>
  </w:style>
  <w:style w:type="paragraph" w:styleId="5">
    <w:name w:val="footer"/>
    <w:basedOn w:val="1"/>
    <w:unhideWhenUsed/>
    <w:qFormat/>
    <w:uiPriority w:val="99"/>
    <w:pPr>
      <w:tabs>
        <w:tab w:val="center" w:pos="4153"/>
        <w:tab w:val="right" w:pos="8306"/>
      </w:tabs>
      <w:snapToGrid w:val="0"/>
      <w:jc w:val="left"/>
    </w:pPr>
    <w:rPr>
      <w:sz w:val="18"/>
      <w:szCs w:val="18"/>
    </w:rPr>
  </w:style>
  <w:style w:type="paragraph" w:styleId="6">
    <w:name w:val="Body Text First Indent"/>
    <w:basedOn w:val="2"/>
    <w:next w:val="1"/>
    <w:qFormat/>
    <w:uiPriority w:val="0"/>
    <w:pPr>
      <w:ind w:firstLine="420" w:firstLineChars="100"/>
    </w:pPr>
  </w:style>
  <w:style w:type="paragraph" w:styleId="7">
    <w:name w:val="Body Text First Indent 2"/>
    <w:basedOn w:val="4"/>
    <w:next w:val="6"/>
    <w:unhideWhenUsed/>
    <w:qFormat/>
    <w:uiPriority w:val="99"/>
    <w:pPr>
      <w:ind w:firstLine="420"/>
    </w:pPr>
  </w:style>
  <w:style w:type="paragraph" w:customStyle="1" w:styleId="10">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1558</Words>
  <Characters>1627</Characters>
  <Lines>0</Lines>
  <Paragraphs>0</Paragraphs>
  <TotalTime>0</TotalTime>
  <ScaleCrop>false</ScaleCrop>
  <LinksUpToDate>false</LinksUpToDate>
  <CharactersWithSpaces>1659</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2019-06-26T02:30:00Z</dcterms:created>
  <dc:creator>丢～哐！</dc:creator>
  <cp:lastModifiedBy>Administrator</cp:lastModifiedBy>
  <cp:lastPrinted>2023-04-18T04:17:00Z</cp:lastPrinted>
  <dcterms:modified xsi:type="dcterms:W3CDTF">2023-04-27T03:15:30Z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371C9D5E9E484D2D86644570BA482876</vt:lpwstr>
  </property>
</Properties>
</file>