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DC3D96">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14:paraId="5819B2C9">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14:paraId="17D94D71">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14:paraId="0604D275">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14:paraId="5B82CDCC">
      <w:pPr>
        <w:spacing w:line="560" w:lineRule="exact"/>
        <w:ind w:firstLine="4480" w:firstLineChars="1400"/>
        <w:rPr>
          <w:rFonts w:hint="eastAsia" w:ascii="楷体" w:hAnsi="楷体" w:eastAsia="楷体" w:cs="楷体"/>
          <w:sz w:val="32"/>
          <w:szCs w:val="32"/>
        </w:rPr>
      </w:pPr>
      <w:bookmarkStart w:id="1" w:name="_GoBack"/>
      <w:r>
        <w:rPr>
          <w:rFonts w:hint="eastAsia" w:ascii="楷体" w:hAnsi="楷体" w:eastAsia="楷体" w:cs="楷体"/>
          <w:sz w:val="32"/>
          <w:szCs w:val="32"/>
        </w:rPr>
        <w:t>鄂环鄂前环评字〔</w:t>
      </w:r>
      <w:r>
        <w:rPr>
          <w:rFonts w:hint="eastAsia" w:ascii="楷体" w:hAnsi="楷体" w:eastAsia="楷体" w:cs="楷体"/>
          <w:sz w:val="32"/>
          <w:szCs w:val="32"/>
          <w:lang w:val="en-US" w:eastAsia="zh-CN"/>
        </w:rPr>
        <w:t>2024</w:t>
      </w:r>
      <w:r>
        <w:rPr>
          <w:rFonts w:hint="eastAsia" w:ascii="楷体" w:hAnsi="楷体" w:eastAsia="楷体" w:cs="楷体"/>
          <w:sz w:val="32"/>
          <w:szCs w:val="32"/>
        </w:rPr>
        <w:t>〕</w:t>
      </w:r>
      <w:r>
        <w:rPr>
          <w:rFonts w:hint="eastAsia" w:ascii="楷体" w:hAnsi="楷体" w:eastAsia="楷体" w:cs="楷体"/>
          <w:sz w:val="32"/>
          <w:szCs w:val="32"/>
          <w:lang w:val="en-US" w:eastAsia="zh-CN"/>
        </w:rPr>
        <w:t>21</w:t>
      </w:r>
      <w:r>
        <w:rPr>
          <w:rFonts w:hint="eastAsia" w:ascii="楷体" w:hAnsi="楷体" w:eastAsia="楷体" w:cs="楷体"/>
          <w:sz w:val="32"/>
          <w:szCs w:val="32"/>
        </w:rPr>
        <w:t>号</w:t>
      </w:r>
    </w:p>
    <w:bookmarkEnd w:id="1"/>
    <w:p w14:paraId="63005259">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14:paraId="5D4DFCE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鄂尔多斯市生态环境局鄂托克前旗分局关于</w:t>
      </w:r>
    </w:p>
    <w:p w14:paraId="09D29CD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default" w:ascii="方正小标宋简体" w:eastAsia="方正小标宋简体"/>
          <w:sz w:val="44"/>
          <w:szCs w:val="44"/>
          <w:lang w:val="en-US" w:eastAsia="zh-CN"/>
        </w:rPr>
        <w:t>茂</w:t>
      </w:r>
      <w:r>
        <w:rPr>
          <w:rFonts w:hint="eastAsia" w:ascii="方正小标宋简体" w:eastAsia="方正小标宋简体"/>
          <w:sz w:val="44"/>
          <w:szCs w:val="44"/>
          <w:lang w:val="en-US" w:eastAsia="zh-CN"/>
        </w:rPr>
        <w:t>61</w:t>
      </w:r>
      <w:r>
        <w:rPr>
          <w:rFonts w:hint="default" w:ascii="方正小标宋简体" w:hAnsi="Times New Roman" w:eastAsia="方正小标宋简体" w:cs="Times New Roman"/>
          <w:sz w:val="44"/>
          <w:szCs w:val="44"/>
          <w:lang w:val="en-US" w:eastAsia="zh-CN"/>
        </w:rPr>
        <w:t>油探井</w:t>
      </w:r>
      <w:r>
        <w:rPr>
          <w:rFonts w:hint="eastAsia" w:ascii="方正小标宋简体" w:hAnsi="Times New Roman" w:eastAsia="方正小标宋简体" w:cs="Times New Roman"/>
          <w:sz w:val="44"/>
          <w:szCs w:val="44"/>
          <w:lang w:val="en-US" w:eastAsia="zh-CN"/>
        </w:rPr>
        <w:t>项目</w:t>
      </w:r>
      <w:r>
        <w:rPr>
          <w:rFonts w:hint="eastAsia" w:ascii="方正小标宋简体" w:eastAsia="方正小标宋简体"/>
          <w:sz w:val="44"/>
          <w:szCs w:val="44"/>
        </w:rPr>
        <w:t>环境影响报告表的批复</w:t>
      </w:r>
    </w:p>
    <w:p w14:paraId="1A2CCC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14:paraId="547CF6EF">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lang w:val="en-US" w:eastAsia="zh-CN"/>
        </w:rPr>
        <w:t>长庆油田分公司陕北石油预探项目组</w:t>
      </w:r>
      <w:r>
        <w:rPr>
          <w:rFonts w:hint="eastAsia" w:ascii="仿宋_GB2312" w:hAnsi="仿宋_GB2312" w:eastAsia="仿宋_GB2312" w:cs="仿宋_GB2312"/>
          <w:b w:val="0"/>
          <w:bCs w:val="0"/>
          <w:sz w:val="32"/>
          <w:szCs w:val="32"/>
          <w:lang w:val="en-US" w:eastAsia="zh-CN"/>
        </w:rPr>
        <w:t>：</w:t>
      </w:r>
    </w:p>
    <w:p w14:paraId="659BB03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w:t>
      </w:r>
      <w:r>
        <w:rPr>
          <w:rFonts w:hint="eastAsia" w:ascii="仿宋_GB2312" w:hAnsi="仿宋_GB2312" w:eastAsia="仿宋_GB2312" w:cs="仿宋_GB2312"/>
          <w:b w:val="0"/>
          <w:bCs w:val="0"/>
          <w:sz w:val="32"/>
          <w:szCs w:val="32"/>
          <w:lang w:val="en-US" w:eastAsia="zh-CN"/>
        </w:rPr>
        <w:t>公司</w:t>
      </w:r>
      <w:r>
        <w:rPr>
          <w:rFonts w:hint="eastAsia" w:ascii="仿宋_GB2312" w:hAnsi="仿宋_GB2312" w:eastAsia="仿宋_GB2312" w:cs="仿宋_GB2312"/>
          <w:b w:val="0"/>
          <w:bCs w:val="0"/>
          <w:sz w:val="32"/>
          <w:szCs w:val="32"/>
        </w:rPr>
        <w:t>报送的</w:t>
      </w:r>
      <w:r>
        <w:rPr>
          <w:rFonts w:hint="eastAsia" w:ascii="仿宋_GB2312" w:hAnsi="仿宋_GB2312" w:eastAsia="仿宋_GB2312" w:cs="仿宋_GB2312"/>
          <w:b w:val="0"/>
          <w:bCs w:val="0"/>
          <w:sz w:val="32"/>
          <w:szCs w:val="32"/>
          <w:lang w:val="en-US" w:eastAsia="zh-CN"/>
        </w:rPr>
        <w:t>由</w:t>
      </w:r>
      <w:r>
        <w:rPr>
          <w:rFonts w:hint="default" w:ascii="仿宋_GB2312" w:hAnsi="仿宋_GB2312" w:eastAsia="仿宋_GB2312" w:cs="仿宋_GB2312"/>
          <w:b w:val="0"/>
          <w:bCs w:val="0"/>
          <w:sz w:val="32"/>
          <w:szCs w:val="32"/>
          <w:lang w:val="en-US" w:eastAsia="zh-CN"/>
        </w:rPr>
        <w:t>延安同众环保咨询服务有限公司</w:t>
      </w:r>
      <w:r>
        <w:rPr>
          <w:rFonts w:hint="eastAsia" w:ascii="仿宋_GB2312" w:hAnsi="仿宋_GB2312" w:eastAsia="仿宋_GB2312" w:cs="仿宋_GB2312"/>
          <w:b w:val="0"/>
          <w:bCs w:val="0"/>
          <w:sz w:val="32"/>
          <w:szCs w:val="32"/>
          <w:lang w:val="en-US" w:eastAsia="zh-CN"/>
        </w:rPr>
        <w:t>编制的《</w:t>
      </w:r>
      <w:bookmarkStart w:id="0" w:name="_Hlk133136030"/>
      <w:r>
        <w:rPr>
          <w:rFonts w:hint="default" w:ascii="仿宋_GB2312" w:hAnsi="仿宋_GB2312" w:eastAsia="仿宋_GB2312" w:cs="仿宋_GB2312"/>
          <w:b w:val="0"/>
          <w:bCs w:val="0"/>
          <w:sz w:val="32"/>
          <w:szCs w:val="32"/>
          <w:lang w:val="en-US" w:eastAsia="zh-CN"/>
        </w:rPr>
        <w:t>长庆油田分公司陕北石油预探项目组</w:t>
      </w:r>
      <w:bookmarkEnd w:id="0"/>
      <w:r>
        <w:rPr>
          <w:rFonts w:hint="default" w:ascii="仿宋_GB2312" w:hAnsi="仿宋_GB2312" w:eastAsia="仿宋_GB2312" w:cs="仿宋_GB2312"/>
          <w:b w:val="0"/>
          <w:bCs w:val="0"/>
          <w:sz w:val="32"/>
          <w:szCs w:val="32"/>
          <w:lang w:val="en-US" w:eastAsia="zh-CN"/>
        </w:rPr>
        <w:t>茂</w:t>
      </w:r>
      <w:r>
        <w:rPr>
          <w:rFonts w:hint="eastAsia" w:ascii="仿宋_GB2312" w:hAnsi="仿宋_GB2312" w:eastAsia="仿宋_GB2312" w:cs="仿宋_GB2312"/>
          <w:b w:val="0"/>
          <w:bCs w:val="0"/>
          <w:sz w:val="32"/>
          <w:szCs w:val="32"/>
          <w:lang w:val="en-US" w:eastAsia="zh-CN"/>
        </w:rPr>
        <w:t>61</w:t>
      </w:r>
      <w:r>
        <w:rPr>
          <w:rFonts w:hint="default" w:ascii="仿宋_GB2312" w:hAnsi="仿宋_GB2312" w:eastAsia="仿宋_GB2312" w:cs="仿宋_GB2312"/>
          <w:b w:val="0"/>
          <w:bCs w:val="0"/>
          <w:sz w:val="32"/>
          <w:szCs w:val="32"/>
          <w:lang w:val="en-US" w:eastAsia="zh-CN"/>
        </w:rPr>
        <w:t>油探井项目</w:t>
      </w:r>
      <w:r>
        <w:rPr>
          <w:rFonts w:hint="eastAsia" w:ascii="仿宋_GB2312" w:hAnsi="仿宋_GB2312" w:eastAsia="仿宋_GB2312" w:cs="仿宋_GB2312"/>
          <w:b w:val="0"/>
          <w:bCs w:val="0"/>
          <w:sz w:val="32"/>
          <w:szCs w:val="32"/>
          <w:lang w:val="en-US" w:eastAsia="zh-CN"/>
        </w:rPr>
        <w:t>项环境影响报告表》</w:t>
      </w:r>
      <w:r>
        <w:rPr>
          <w:rFonts w:hint="eastAsia" w:ascii="仿宋_GB2312" w:hAnsi="仿宋_GB2312" w:eastAsia="仿宋_GB2312" w:cs="仿宋_GB2312"/>
          <w:b w:val="0"/>
          <w:bCs w:val="0"/>
          <w:sz w:val="32"/>
          <w:szCs w:val="32"/>
        </w:rPr>
        <w:t>（以下简称《报告表》）已收悉。经</w:t>
      </w:r>
      <w:r>
        <w:rPr>
          <w:rFonts w:hint="eastAsia" w:ascii="仿宋_GB2312" w:hAnsi="仿宋_GB2312" w:eastAsia="仿宋_GB2312" w:cs="仿宋_GB2312"/>
          <w:b w:val="0"/>
          <w:bCs w:val="0"/>
          <w:sz w:val="32"/>
          <w:szCs w:val="32"/>
          <w:lang w:val="en-US" w:eastAsia="zh-CN"/>
        </w:rPr>
        <w:t>研究</w:t>
      </w:r>
      <w:r>
        <w:rPr>
          <w:rFonts w:hint="eastAsia" w:ascii="仿宋_GB2312" w:hAnsi="仿宋_GB2312" w:eastAsia="仿宋_GB2312" w:cs="仿宋_GB2312"/>
          <w:b w:val="0"/>
          <w:bCs w:val="0"/>
          <w:sz w:val="32"/>
          <w:szCs w:val="32"/>
        </w:rPr>
        <w:t>，现批复如下：</w:t>
      </w:r>
    </w:p>
    <w:p w14:paraId="66318C39">
      <w:pPr>
        <w:numPr>
          <w:numId w:val="0"/>
        </w:numPr>
        <w:ind w:firstLine="640" w:firstLineChars="200"/>
        <w:rPr>
          <w:rFonts w:hint="eastAsia" w:ascii="仿宋_GB2312" w:hAnsi="仿宋_GB2312" w:eastAsia="仿宋_GB2312" w:cs="仿宋_GB2312"/>
          <w:b w:val="0"/>
          <w:bCs w:val="0"/>
          <w:kern w:val="44"/>
          <w:sz w:val="32"/>
          <w:szCs w:val="32"/>
          <w:lang w:val="en-US" w:eastAsia="zh-CN" w:bidi="ar-SA"/>
        </w:rPr>
      </w:pPr>
      <w:r>
        <w:rPr>
          <w:rFonts w:hint="eastAsia" w:ascii="仿宋_GB2312" w:hAnsi="仿宋_GB2312" w:eastAsia="仿宋_GB2312" w:cs="仿宋_GB2312"/>
          <w:b w:val="0"/>
          <w:bCs w:val="0"/>
          <w:kern w:val="44"/>
          <w:sz w:val="32"/>
          <w:szCs w:val="32"/>
          <w:lang w:val="en-US" w:eastAsia="zh-CN" w:bidi="ar-SA"/>
        </w:rPr>
        <w:t>一、</w:t>
      </w:r>
      <w:r>
        <w:rPr>
          <w:rFonts w:hint="default" w:ascii="仿宋_GB2312" w:hAnsi="仿宋_GB2312" w:eastAsia="仿宋_GB2312" w:cs="仿宋_GB2312"/>
          <w:b w:val="0"/>
          <w:bCs w:val="0"/>
          <w:kern w:val="44"/>
          <w:sz w:val="32"/>
          <w:szCs w:val="32"/>
          <w:lang w:val="en-US" w:eastAsia="zh-CN" w:bidi="ar-SA"/>
        </w:rPr>
        <w:t>长庆油田分公司陕北石油预探项目组茂</w:t>
      </w:r>
      <w:r>
        <w:rPr>
          <w:rFonts w:hint="eastAsia" w:ascii="仿宋_GB2312" w:hAnsi="仿宋_GB2312" w:eastAsia="仿宋_GB2312" w:cs="仿宋_GB2312"/>
          <w:b w:val="0"/>
          <w:bCs w:val="0"/>
          <w:kern w:val="44"/>
          <w:sz w:val="32"/>
          <w:szCs w:val="32"/>
          <w:lang w:val="en-US" w:eastAsia="zh-CN" w:bidi="ar-SA"/>
        </w:rPr>
        <w:t>61</w:t>
      </w:r>
      <w:r>
        <w:rPr>
          <w:rFonts w:hint="default" w:ascii="仿宋_GB2312" w:hAnsi="仿宋_GB2312" w:eastAsia="仿宋_GB2312" w:cs="仿宋_GB2312"/>
          <w:b w:val="0"/>
          <w:bCs w:val="0"/>
          <w:kern w:val="44"/>
          <w:sz w:val="32"/>
          <w:szCs w:val="32"/>
          <w:lang w:val="en-US" w:eastAsia="zh-CN" w:bidi="ar-SA"/>
        </w:rPr>
        <w:t>油探井项目</w:t>
      </w:r>
      <w:r>
        <w:rPr>
          <w:rFonts w:hint="eastAsia" w:ascii="仿宋_GB2312" w:hAnsi="仿宋_GB2312" w:eastAsia="仿宋_GB2312" w:cs="仿宋_GB2312"/>
          <w:b w:val="0"/>
          <w:bCs w:val="0"/>
          <w:kern w:val="44"/>
          <w:sz w:val="32"/>
          <w:szCs w:val="32"/>
          <w:lang w:val="en-US" w:eastAsia="zh-CN" w:bidi="ar-SA"/>
        </w:rPr>
        <w:t>建设于鄂尔多斯市鄂托克前旗</w:t>
      </w:r>
      <w:r>
        <w:rPr>
          <w:rFonts w:hint="default" w:ascii="仿宋_GB2312" w:hAnsi="仿宋_GB2312" w:eastAsia="仿宋_GB2312" w:cs="仿宋_GB2312"/>
          <w:b w:val="0"/>
          <w:bCs w:val="0"/>
          <w:kern w:val="44"/>
          <w:sz w:val="32"/>
          <w:szCs w:val="32"/>
          <w:lang w:val="en-US" w:eastAsia="zh-CN" w:bidi="ar-SA"/>
        </w:rPr>
        <w:t>城川镇章昂希里村</w:t>
      </w:r>
      <w:r>
        <w:rPr>
          <w:rFonts w:hint="eastAsia" w:ascii="仿宋_GB2312" w:hAnsi="仿宋_GB2312" w:eastAsia="仿宋_GB2312" w:cs="仿宋_GB2312"/>
          <w:b w:val="0"/>
          <w:bCs w:val="0"/>
          <w:kern w:val="44"/>
          <w:sz w:val="32"/>
          <w:szCs w:val="32"/>
          <w:lang w:val="en-US" w:eastAsia="zh-CN" w:bidi="ar-SA"/>
        </w:rPr>
        <w:t>境内，</w:t>
      </w:r>
      <w:r>
        <w:rPr>
          <w:rFonts w:hint="default" w:ascii="仿宋_GB2312" w:hAnsi="仿宋_GB2312" w:eastAsia="仿宋_GB2312" w:cs="仿宋_GB2312"/>
          <w:b w:val="0"/>
          <w:bCs w:val="0"/>
          <w:kern w:val="44"/>
          <w:sz w:val="32"/>
          <w:szCs w:val="32"/>
          <w:lang w:val="en-US" w:eastAsia="zh-CN" w:bidi="ar-SA"/>
        </w:rPr>
        <w:t>新建1口石油预探井，井型为直井，设计完钻垂深为2200m，新建井场及配套临时生活办公区、施工便道，临时总占地面积6447</w:t>
      </w:r>
      <w:r>
        <w:rPr>
          <w:rFonts w:hint="eastAsia" w:ascii="仿宋_GB2312" w:hAnsi="仿宋_GB2312" w:eastAsia="仿宋_GB2312" w:cs="仿宋_GB2312"/>
          <w:b w:val="0"/>
          <w:bCs w:val="0"/>
          <w:kern w:val="44"/>
          <w:sz w:val="32"/>
          <w:szCs w:val="32"/>
          <w:lang w:val="en-US" w:eastAsia="zh-CN" w:bidi="ar-SA"/>
        </w:rPr>
        <w:t>㎡。项目总投资500万元，其中环保投资47万元，占总投资的9.4%。</w:t>
      </w:r>
    </w:p>
    <w:p w14:paraId="457ECA5F">
      <w:pPr>
        <w:keepNext w:val="0"/>
        <w:keepLines w:val="0"/>
        <w:pageBreakBefore w:val="0"/>
        <w:widowControl w:val="0"/>
        <w:numPr>
          <w:numId w:val="0"/>
        </w:numPr>
        <w:kinsoku/>
        <w:wordWrap/>
        <w:overflowPunct/>
        <w:topLinePunct w:val="0"/>
        <w:autoSpaceDE/>
        <w:autoSpaceDN/>
        <w:bidi w:val="0"/>
        <w:adjustRightInd/>
        <w:snapToGrid/>
        <w:spacing w:line="240" w:lineRule="auto"/>
        <w:ind w:right="0" w:rightChars="0" w:firstLine="320" w:firstLineChars="100"/>
        <w:jc w:val="left"/>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kern w:val="44"/>
          <w:sz w:val="32"/>
          <w:szCs w:val="32"/>
          <w:lang w:val="en-US" w:eastAsia="zh-CN" w:bidi="ar-SA"/>
        </w:rPr>
        <w:t xml:space="preserve"> </w:t>
      </w: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《报告表》认为，在全面落实各项生态环境保护和环境污染防治措施的前提下，项目建设对环境的不利影响能够得到一定的缓解和控制。因此我局原则同意你公司按照</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《报告表》中所列的项目建设地点、性质、规模、工艺、防治污染和防止生态破坏的措施进行建设。</w:t>
      </w:r>
    </w:p>
    <w:p w14:paraId="7E335E1B">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二、项目建设与运行管理中应</w:t>
      </w:r>
      <w:r>
        <w:rPr>
          <w:rFonts w:hint="eastAsia" w:ascii="仿宋_GB2312" w:hAnsi="仿宋_GB2312" w:eastAsia="仿宋_GB2312" w:cs="仿宋_GB2312"/>
          <w:b w:val="0"/>
          <w:bCs w:val="0"/>
          <w:sz w:val="32"/>
          <w:szCs w:val="32"/>
        </w:rPr>
        <w:t>重点做好</w:t>
      </w:r>
      <w:r>
        <w:rPr>
          <w:rFonts w:hint="eastAsia" w:ascii="仿宋_GB2312" w:hAnsi="仿宋_GB2312" w:eastAsia="仿宋_GB2312" w:cs="仿宋_GB2312"/>
          <w:b w:val="0"/>
          <w:bCs w:val="0"/>
          <w:sz w:val="32"/>
          <w:szCs w:val="32"/>
          <w:lang w:eastAsia="zh-CN"/>
        </w:rPr>
        <w:t>的</w:t>
      </w:r>
      <w:r>
        <w:rPr>
          <w:rFonts w:hint="eastAsia" w:ascii="仿宋_GB2312" w:hAnsi="仿宋_GB2312" w:eastAsia="仿宋_GB2312" w:cs="仿宋_GB2312"/>
          <w:b w:val="0"/>
          <w:bCs w:val="0"/>
          <w:sz w:val="32"/>
          <w:szCs w:val="32"/>
        </w:rPr>
        <w:t>工作：</w:t>
      </w:r>
    </w:p>
    <w:p w14:paraId="40568AC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1、认真落实《鄂尔多斯市天然气开发生态环境保护条例》中提出的各项规定和要求。</w:t>
      </w:r>
    </w:p>
    <w:p w14:paraId="6912971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认真落实大气污染防治措施。进一步优化施工平面，合理布置施工现场，将各种施工活动控制在施工作业带范围之内，严禁乱砍滥伐、随处取土；施工现场应采取设置围挡、场地硬化、洒水降尘等有效措施控制施工扬尘污染；加强对运输车辆的密闭管理，避免物料洒落、起尘；运输车辆在起尘路段应减速慢行，并采取洒水措施防止道路扬尘污染。</w:t>
      </w:r>
    </w:p>
    <w:p w14:paraId="599B49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严格落实各项水污染防治措施。生产废水经专用储罐收集后就近送至有资质的油气田废弃物集中处理厂处置，不得外排；生活污水经污水罐收集后定期拉运至附近污水处理厂集中处理，不得外排。按照《报告表》要求，针对项目特定区域采取分区防渗措施，防止对土壤及地下水造成影响。</w:t>
      </w:r>
    </w:p>
    <w:p w14:paraId="5E818A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严格落实噪声污染防治措施。采取选用低噪声设备、基础减震等有效措施，确保施工噪声满足《建筑施工场界环境噪声排放标准》(GB12523-2011)中相应标准限值要求；在环境敏感点附近禁止在中午（12：00-14:00）、夜间（22：00至次日6：00）从事高噪声施工作业和物料运输，防止出现噪声扰民现象。</w:t>
      </w:r>
    </w:p>
    <w:p w14:paraId="3C251F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5、妥善处置各类固体废弃物。</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严格按照《一般工业固体废物贮存和填埋污染控制标准》（GB18599—2020）和《危险废物贮存污染控制标准》（GB18597-2023）要求，对项目产生的各类固体废弃物进行安全处置，不得随意丢弃</w:t>
      </w:r>
      <w:r>
        <w:rPr>
          <w:rFonts w:hint="eastAsia" w:ascii="仿宋_GB2312" w:hAnsi="仿宋_GB2312" w:eastAsia="仿宋_GB2312" w:cs="仿宋_GB2312"/>
          <w:sz w:val="32"/>
          <w:szCs w:val="32"/>
          <w:lang w:val="en-US" w:eastAsia="zh-CN"/>
        </w:rPr>
        <w:t>。</w:t>
      </w:r>
    </w:p>
    <w:p w14:paraId="17BF0DE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0" w:firstLineChars="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6、强化生态保护工作。应切实做好泥浆不落地工作，防止泥浆污染土壤环境。严格控制施工作业范围，尽量缩短施工时间，减少施工活动对周围生态的影响。尽可能避免在雨季和大风沙尘天</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气进行施工作业</w:t>
      </w:r>
      <w:r>
        <w:rPr>
          <w:rFonts w:hint="eastAsia" w:ascii="仿宋_GB2312" w:hAnsi="仿宋_GB2312" w:eastAsia="仿宋_GB2312" w:cs="仿宋_GB2312"/>
          <w:sz w:val="32"/>
          <w:szCs w:val="32"/>
          <w:lang w:val="en-US" w:eastAsia="zh-CN"/>
        </w:rPr>
        <w:t>。对不可利用的废弃物应及时清运至政府部门指定的场所统一处置，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不得随意丢弃</w:t>
      </w:r>
      <w:r>
        <w:rPr>
          <w:rFonts w:hint="eastAsia" w:ascii="仿宋_GB2312" w:hAnsi="仿宋_GB2312" w:eastAsia="仿宋_GB2312" w:cs="仿宋_GB2312"/>
          <w:sz w:val="32"/>
          <w:szCs w:val="32"/>
          <w:lang w:val="en-US" w:eastAsia="zh-CN"/>
        </w:rPr>
        <w:t>。施工结束后及时对临时占地进行生态恢复。建设单位须制定详细的生态植被恢复措施与计划，并安排足够的生态恢复专用资金，确保生态恢复措施落实到位。</w:t>
      </w:r>
    </w:p>
    <w:p w14:paraId="1DA5374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7、强化</w:t>
      </w:r>
      <w:r>
        <w:rPr>
          <w:rFonts w:hint="default" w:ascii="仿宋_GB2312" w:hAnsi="仿宋_GB2312" w:eastAsia="仿宋_GB2312" w:cs="仿宋_GB2312"/>
          <w:sz w:val="32"/>
          <w:szCs w:val="32"/>
          <w:lang w:val="en-US" w:eastAsia="zh-CN"/>
        </w:rPr>
        <w:t>环境风险防范措施和安全生产措施。制定完善的环境风险应急预案，落实环境风险事故防范措施，提高事故风险防范和污染控制能力。</w:t>
      </w:r>
    </w:p>
    <w:p w14:paraId="70423545">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14:paraId="0E5E5174">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四、该项目从批准之日超过5年方决定开工建设，其环评文件需重新审核。如果</w:t>
      </w:r>
      <w:r>
        <w:rPr>
          <w:rFonts w:hint="eastAsia" w:ascii="仿宋_GB2312" w:hAnsi="仿宋_GB2312" w:eastAsia="仿宋_GB2312" w:cs="仿宋_GB2312"/>
          <w:b w:val="0"/>
          <w:bCs w:val="0"/>
          <w:sz w:val="32"/>
          <w:szCs w:val="32"/>
          <w:lang w:val="en-US" w:eastAsia="zh-CN"/>
        </w:rPr>
        <w:t>项目</w:t>
      </w:r>
      <w:r>
        <w:rPr>
          <w:rFonts w:hint="eastAsia" w:ascii="仿宋_GB2312" w:hAnsi="仿宋_GB2312" w:eastAsia="仿宋_GB2312" w:cs="仿宋_GB2312"/>
          <w:b w:val="0"/>
          <w:bCs w:val="0"/>
          <w:sz w:val="32"/>
          <w:szCs w:val="32"/>
          <w:lang w:eastAsia="zh-CN"/>
        </w:rPr>
        <w:t>建设地点、规模、</w:t>
      </w:r>
      <w:r>
        <w:rPr>
          <w:rFonts w:hint="eastAsia" w:ascii="仿宋_GB2312" w:hAnsi="仿宋_GB2312" w:eastAsia="仿宋_GB2312" w:cs="仿宋_GB2312"/>
          <w:b w:val="0"/>
          <w:bCs w:val="0"/>
          <w:sz w:val="32"/>
          <w:szCs w:val="32"/>
          <w:lang w:val="en-US" w:eastAsia="zh-CN"/>
        </w:rPr>
        <w:t>工艺</w:t>
      </w:r>
      <w:r>
        <w:rPr>
          <w:rFonts w:hint="eastAsia" w:ascii="仿宋_GB2312" w:hAnsi="仿宋_GB2312" w:eastAsia="仿宋_GB2312" w:cs="仿宋_GB2312"/>
          <w:b w:val="0"/>
          <w:bCs w:val="0"/>
          <w:sz w:val="32"/>
          <w:szCs w:val="32"/>
          <w:lang w:eastAsia="zh-CN"/>
        </w:rPr>
        <w:t>、防治污染和防止生态破坏的措施等发生重大变化时，需重新报批环评文件。</w:t>
      </w:r>
    </w:p>
    <w:p w14:paraId="0C5F8129">
      <w:pPr>
        <w:pStyle w:val="9"/>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textAlignment w:val="auto"/>
        <w:rPr>
          <w:rFonts w:hint="eastAsia" w:ascii="仿宋_GB2312" w:hAnsi="仿宋_GB2312" w:eastAsia="仿宋_GB2312" w:cs="仿宋_GB2312"/>
          <w:b w:val="0"/>
          <w:bCs w:val="0"/>
          <w:sz w:val="32"/>
          <w:szCs w:val="32"/>
          <w:lang w:eastAsia="zh-CN"/>
        </w:rPr>
      </w:pPr>
    </w:p>
    <w:p w14:paraId="46A34BE3">
      <w:pPr>
        <w:keepNext w:val="0"/>
        <w:keepLines w:val="0"/>
        <w:pageBreakBefore w:val="0"/>
        <w:widowControl w:val="0"/>
        <w:kinsoku/>
        <w:wordWrap/>
        <w:overflowPunct/>
        <w:topLinePunct w:val="0"/>
        <w:autoSpaceDE/>
        <w:autoSpaceDN/>
        <w:bidi w:val="0"/>
        <w:adjustRightInd/>
        <w:snapToGrid/>
        <w:spacing w:line="54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14:paraId="6F41877B">
      <w:pPr>
        <w:keepNext w:val="0"/>
        <w:keepLines w:val="0"/>
        <w:pageBreakBefore w:val="0"/>
        <w:widowControl w:val="0"/>
        <w:kinsoku/>
        <w:wordWrap/>
        <w:overflowPunct/>
        <w:topLinePunct w:val="0"/>
        <w:autoSpaceDE/>
        <w:autoSpaceDN/>
        <w:bidi w:val="0"/>
        <w:adjustRightInd/>
        <w:snapToGrid/>
        <w:spacing w:line="540" w:lineRule="exact"/>
        <w:ind w:firstLine="4480" w:firstLineChars="1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日</w:t>
      </w:r>
    </w:p>
    <w:p w14:paraId="29DCAA64">
      <w:pPr>
        <w:keepNext w:val="0"/>
        <w:keepLines w:val="0"/>
        <w:pageBreakBefore w:val="0"/>
        <w:widowControl w:val="0"/>
        <w:kinsoku/>
        <w:wordWrap/>
        <w:overflowPunct/>
        <w:topLinePunct w:val="0"/>
        <w:autoSpaceDE/>
        <w:autoSpaceDN/>
        <w:bidi w:val="0"/>
        <w:adjustRightInd/>
        <w:snapToGrid/>
        <w:spacing w:line="540" w:lineRule="exact"/>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tbl>
      <w:tblPr>
        <w:tblStyle w:val="7"/>
        <w:tblpPr w:leftFromText="180" w:rightFromText="180" w:vertAnchor="text" w:horzAnchor="page" w:tblpX="1494" w:tblpY="10390"/>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14E5BD5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14:paraId="7B505F0E">
            <w:pPr>
              <w:keepNext w:val="0"/>
              <w:keepLines w:val="0"/>
              <w:pageBreakBefore w:val="0"/>
              <w:widowControl w:val="0"/>
              <w:kinsoku/>
              <w:wordWrap/>
              <w:overflowPunct/>
              <w:topLinePunct w:val="0"/>
              <w:autoSpaceDE/>
              <w:autoSpaceDN/>
              <w:bidi w:val="0"/>
              <w:adjustRightInd/>
              <w:snapToGrid/>
              <w:spacing w:line="540" w:lineRule="exact"/>
              <w:ind w:right="0" w:rightChars="0" w:firstLine="0" w:firstLine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14:paraId="16DE6AF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14:paraId="1141B6D3">
            <w:pPr>
              <w:keepNext w:val="0"/>
              <w:keepLines w:val="0"/>
              <w:pageBreakBefore w:val="0"/>
              <w:widowControl w:val="0"/>
              <w:kinsoku/>
              <w:wordWrap/>
              <w:overflowPunct/>
              <w:topLinePunct w:val="0"/>
              <w:autoSpaceDE/>
              <w:autoSpaceDN/>
              <w:bidi w:val="0"/>
              <w:adjustRightInd/>
              <w:snapToGrid/>
              <w:spacing w:line="540" w:lineRule="exact"/>
              <w:ind w:right="0" w:rightChars="0" w:firstLine="0" w:firstLine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sz w:val="28"/>
                <w:szCs w:val="28"/>
                <w:lang w:val="en-US" w:eastAsia="zh-CN"/>
              </w:rPr>
              <w:t>2024</w:t>
            </w:r>
            <w:r>
              <w:rPr>
                <w:rFonts w:hint="eastAsia" w:ascii="仿宋_GB2312" w:hAnsi="仿宋_GB2312" w:eastAsia="仿宋_GB2312" w:cs="仿宋_GB2312"/>
                <w:b w:val="0"/>
                <w:bCs w:val="0"/>
                <w:sz w:val="28"/>
                <w:szCs w:val="28"/>
                <w:lang w:eastAsia="zh-CN"/>
              </w:rPr>
              <w:t>年</w:t>
            </w:r>
            <w:r>
              <w:rPr>
                <w:rFonts w:hint="eastAsia" w:ascii="仿宋_GB2312" w:hAnsi="仿宋_GB2312" w:eastAsia="仿宋_GB2312" w:cs="仿宋_GB2312"/>
                <w:b w:val="0"/>
                <w:bCs w:val="0"/>
                <w:sz w:val="28"/>
                <w:szCs w:val="28"/>
                <w:lang w:val="en-US" w:eastAsia="zh-CN"/>
              </w:rPr>
              <w:t>9</w:t>
            </w:r>
            <w:r>
              <w:rPr>
                <w:rFonts w:hint="eastAsia" w:ascii="仿宋_GB2312" w:hAnsi="仿宋_GB2312" w:eastAsia="仿宋_GB2312" w:cs="仿宋_GB2312"/>
                <w:b w:val="0"/>
                <w:bCs w:val="0"/>
                <w:sz w:val="28"/>
                <w:szCs w:val="28"/>
                <w:lang w:eastAsia="zh-CN"/>
              </w:rPr>
              <w:t>月</w:t>
            </w:r>
            <w:r>
              <w:rPr>
                <w:rFonts w:hint="eastAsia" w:ascii="仿宋_GB2312" w:hAnsi="仿宋_GB2312" w:eastAsia="仿宋_GB2312" w:cs="仿宋_GB2312"/>
                <w:b w:val="0"/>
                <w:bCs w:val="0"/>
                <w:sz w:val="28"/>
                <w:szCs w:val="28"/>
                <w:lang w:val="en-US" w:eastAsia="zh-CN"/>
              </w:rPr>
              <w:t>10</w:t>
            </w:r>
            <w:r>
              <w:rPr>
                <w:rFonts w:hint="eastAsia" w:ascii="仿宋_GB2312" w:hAnsi="仿宋_GB2312" w:eastAsia="仿宋_GB2312" w:cs="仿宋_GB2312"/>
                <w:b w:val="0"/>
                <w:bCs w:val="0"/>
                <w:sz w:val="28"/>
                <w:szCs w:val="28"/>
                <w:lang w:eastAsia="zh-CN"/>
              </w:rPr>
              <w:t>日印发</w:t>
            </w:r>
          </w:p>
        </w:tc>
      </w:tr>
    </w:tbl>
    <w:p w14:paraId="04AE26B6">
      <w:pPr>
        <w:keepNext w:val="0"/>
        <w:keepLines w:val="0"/>
        <w:pageBreakBefore w:val="0"/>
        <w:widowControl w:val="0"/>
        <w:kinsoku/>
        <w:wordWrap/>
        <w:overflowPunct/>
        <w:topLinePunct w:val="0"/>
        <w:autoSpaceDE/>
        <w:autoSpaceDN/>
        <w:bidi w:val="0"/>
        <w:adjustRightInd/>
        <w:snapToGrid/>
        <w:spacing w:line="540" w:lineRule="exact"/>
        <w:ind w:firstLine="0" w:firstLineChars="0"/>
        <w:textAlignment w:val="auto"/>
        <w:outlineLvl w:val="9"/>
        <w:rPr>
          <w:rFonts w:hint="eastAsia" w:ascii="仿宋_GB2312" w:hAnsi="仿宋_GB2312" w:eastAsia="仿宋_GB2312" w:cs="仿宋_GB2312"/>
          <w:sz w:val="32"/>
          <w:szCs w:val="32"/>
          <w:lang w:val="en-US" w:eastAsia="zh-CN"/>
        </w:rPr>
      </w:pPr>
    </w:p>
    <w:p w14:paraId="641406AA">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068E359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32A4664F">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1A90CF4D">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5A41F35">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37BF1D9">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766EC071">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438F32B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FA019EA">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12F5FD32">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204100FE">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98FE3B2">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3F7BD3A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7F4B22B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7A10A162">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3AFAC05B">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13447B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0F2FA29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BC2DF1"/>
    <w:rsid w:val="01365766"/>
    <w:rsid w:val="017659F6"/>
    <w:rsid w:val="026003DA"/>
    <w:rsid w:val="029C58B6"/>
    <w:rsid w:val="02C554D8"/>
    <w:rsid w:val="04505E15"/>
    <w:rsid w:val="046935BE"/>
    <w:rsid w:val="048F3A96"/>
    <w:rsid w:val="04CD030F"/>
    <w:rsid w:val="04D12703"/>
    <w:rsid w:val="052D4983"/>
    <w:rsid w:val="06497504"/>
    <w:rsid w:val="064C5DC7"/>
    <w:rsid w:val="06A63186"/>
    <w:rsid w:val="06CE7A80"/>
    <w:rsid w:val="07333E3F"/>
    <w:rsid w:val="09173EE8"/>
    <w:rsid w:val="097E7A96"/>
    <w:rsid w:val="0A1D07A0"/>
    <w:rsid w:val="0A2A23E0"/>
    <w:rsid w:val="0A5F390E"/>
    <w:rsid w:val="0BCF172B"/>
    <w:rsid w:val="0CD5518F"/>
    <w:rsid w:val="0DEC1CEE"/>
    <w:rsid w:val="0E08585D"/>
    <w:rsid w:val="0E122ED0"/>
    <w:rsid w:val="0E7D4E26"/>
    <w:rsid w:val="0EF70794"/>
    <w:rsid w:val="0F752B68"/>
    <w:rsid w:val="0FFE65CF"/>
    <w:rsid w:val="10583B96"/>
    <w:rsid w:val="10E7210E"/>
    <w:rsid w:val="10FE2C88"/>
    <w:rsid w:val="126F5E17"/>
    <w:rsid w:val="130F694F"/>
    <w:rsid w:val="134C29E0"/>
    <w:rsid w:val="13F16E67"/>
    <w:rsid w:val="13F9014E"/>
    <w:rsid w:val="146975C2"/>
    <w:rsid w:val="147C33AB"/>
    <w:rsid w:val="14B2681F"/>
    <w:rsid w:val="15186A55"/>
    <w:rsid w:val="153043A6"/>
    <w:rsid w:val="16AB6934"/>
    <w:rsid w:val="175F2CFA"/>
    <w:rsid w:val="17C43B62"/>
    <w:rsid w:val="17FC44D0"/>
    <w:rsid w:val="1800154B"/>
    <w:rsid w:val="183E0E52"/>
    <w:rsid w:val="19630A84"/>
    <w:rsid w:val="19E51499"/>
    <w:rsid w:val="1C0527D0"/>
    <w:rsid w:val="1C456101"/>
    <w:rsid w:val="1C4A3A54"/>
    <w:rsid w:val="1CC33351"/>
    <w:rsid w:val="1CE84198"/>
    <w:rsid w:val="1D8303D4"/>
    <w:rsid w:val="1E4806C0"/>
    <w:rsid w:val="1E5B2F7C"/>
    <w:rsid w:val="1E9D364C"/>
    <w:rsid w:val="1F0F1B23"/>
    <w:rsid w:val="1F325180"/>
    <w:rsid w:val="1FE3205D"/>
    <w:rsid w:val="201447CA"/>
    <w:rsid w:val="205B2D01"/>
    <w:rsid w:val="2079346E"/>
    <w:rsid w:val="209133F4"/>
    <w:rsid w:val="20A22469"/>
    <w:rsid w:val="20AF49C5"/>
    <w:rsid w:val="20F23006"/>
    <w:rsid w:val="22830035"/>
    <w:rsid w:val="22E56384"/>
    <w:rsid w:val="23250967"/>
    <w:rsid w:val="245C3A5E"/>
    <w:rsid w:val="24EE7FC8"/>
    <w:rsid w:val="2537339C"/>
    <w:rsid w:val="25F863C6"/>
    <w:rsid w:val="2646427B"/>
    <w:rsid w:val="26C62652"/>
    <w:rsid w:val="26D76417"/>
    <w:rsid w:val="27377C72"/>
    <w:rsid w:val="273C651C"/>
    <w:rsid w:val="28225E50"/>
    <w:rsid w:val="28D623C9"/>
    <w:rsid w:val="29820AC2"/>
    <w:rsid w:val="2C0B272C"/>
    <w:rsid w:val="2D3220F3"/>
    <w:rsid w:val="2D7762B2"/>
    <w:rsid w:val="2DB22541"/>
    <w:rsid w:val="2E4F2F2D"/>
    <w:rsid w:val="2F62435C"/>
    <w:rsid w:val="2FA12DD9"/>
    <w:rsid w:val="301B5B64"/>
    <w:rsid w:val="30592276"/>
    <w:rsid w:val="308B280C"/>
    <w:rsid w:val="314762A3"/>
    <w:rsid w:val="31684A32"/>
    <w:rsid w:val="318D4498"/>
    <w:rsid w:val="31B41641"/>
    <w:rsid w:val="31E46A1B"/>
    <w:rsid w:val="33136C1F"/>
    <w:rsid w:val="33DB0411"/>
    <w:rsid w:val="344E63ED"/>
    <w:rsid w:val="35271CB0"/>
    <w:rsid w:val="35984014"/>
    <w:rsid w:val="35984102"/>
    <w:rsid w:val="36826596"/>
    <w:rsid w:val="36B6463D"/>
    <w:rsid w:val="37EB6094"/>
    <w:rsid w:val="37F90FA0"/>
    <w:rsid w:val="38121BD3"/>
    <w:rsid w:val="38C227BB"/>
    <w:rsid w:val="391C2FDA"/>
    <w:rsid w:val="3A1F234D"/>
    <w:rsid w:val="3A6652D3"/>
    <w:rsid w:val="3AC125EE"/>
    <w:rsid w:val="3B932030"/>
    <w:rsid w:val="3BEF0959"/>
    <w:rsid w:val="3C675AA5"/>
    <w:rsid w:val="3C945435"/>
    <w:rsid w:val="3CEC29BB"/>
    <w:rsid w:val="3D240261"/>
    <w:rsid w:val="3D7A7FC6"/>
    <w:rsid w:val="3DEB2C72"/>
    <w:rsid w:val="3E3E7246"/>
    <w:rsid w:val="3E593D44"/>
    <w:rsid w:val="3F11495A"/>
    <w:rsid w:val="3F1B63E3"/>
    <w:rsid w:val="3F66066B"/>
    <w:rsid w:val="3F836895"/>
    <w:rsid w:val="3FC86E9D"/>
    <w:rsid w:val="3FD0251C"/>
    <w:rsid w:val="4014018E"/>
    <w:rsid w:val="4019602A"/>
    <w:rsid w:val="40B25CC9"/>
    <w:rsid w:val="41105679"/>
    <w:rsid w:val="41B65345"/>
    <w:rsid w:val="41DC5BB5"/>
    <w:rsid w:val="41EB4E51"/>
    <w:rsid w:val="420D5010"/>
    <w:rsid w:val="42181778"/>
    <w:rsid w:val="42756713"/>
    <w:rsid w:val="435641DE"/>
    <w:rsid w:val="435A7802"/>
    <w:rsid w:val="45124F88"/>
    <w:rsid w:val="45804310"/>
    <w:rsid w:val="4585397A"/>
    <w:rsid w:val="45E96615"/>
    <w:rsid w:val="463F1BA2"/>
    <w:rsid w:val="466E3788"/>
    <w:rsid w:val="46C832BD"/>
    <w:rsid w:val="46D06EA9"/>
    <w:rsid w:val="47250996"/>
    <w:rsid w:val="475E6263"/>
    <w:rsid w:val="48421AFD"/>
    <w:rsid w:val="489D4D36"/>
    <w:rsid w:val="48CF5BF0"/>
    <w:rsid w:val="492D1028"/>
    <w:rsid w:val="49D74599"/>
    <w:rsid w:val="4A1B465B"/>
    <w:rsid w:val="4A2335A8"/>
    <w:rsid w:val="4A3A501E"/>
    <w:rsid w:val="4AC11AF5"/>
    <w:rsid w:val="4AD4751D"/>
    <w:rsid w:val="4B172583"/>
    <w:rsid w:val="4C7607B0"/>
    <w:rsid w:val="4D0E26EE"/>
    <w:rsid w:val="4D4A76DD"/>
    <w:rsid w:val="4DB52E11"/>
    <w:rsid w:val="4DEC3A38"/>
    <w:rsid w:val="4E070C75"/>
    <w:rsid w:val="4F41298B"/>
    <w:rsid w:val="4F9E6B05"/>
    <w:rsid w:val="4FC40DF6"/>
    <w:rsid w:val="504D1985"/>
    <w:rsid w:val="50E013DB"/>
    <w:rsid w:val="516403BF"/>
    <w:rsid w:val="51DF2433"/>
    <w:rsid w:val="52990003"/>
    <w:rsid w:val="5309090B"/>
    <w:rsid w:val="53D320EE"/>
    <w:rsid w:val="53F341D7"/>
    <w:rsid w:val="54096878"/>
    <w:rsid w:val="54296415"/>
    <w:rsid w:val="54B640EE"/>
    <w:rsid w:val="54B75D13"/>
    <w:rsid w:val="5652314D"/>
    <w:rsid w:val="57930117"/>
    <w:rsid w:val="593432C8"/>
    <w:rsid w:val="59E51C67"/>
    <w:rsid w:val="5A19409B"/>
    <w:rsid w:val="5A5A571B"/>
    <w:rsid w:val="5AA918E5"/>
    <w:rsid w:val="5B2F204B"/>
    <w:rsid w:val="5B4B45B5"/>
    <w:rsid w:val="5B57504B"/>
    <w:rsid w:val="5BA063FF"/>
    <w:rsid w:val="5BB575A2"/>
    <w:rsid w:val="5C09794B"/>
    <w:rsid w:val="5C2356CF"/>
    <w:rsid w:val="5C605DDE"/>
    <w:rsid w:val="5CE8594C"/>
    <w:rsid w:val="5CFC3B75"/>
    <w:rsid w:val="5DA33B49"/>
    <w:rsid w:val="5DD952F7"/>
    <w:rsid w:val="5DDA5DDC"/>
    <w:rsid w:val="5E747311"/>
    <w:rsid w:val="5EA10343"/>
    <w:rsid w:val="5FFC4CEC"/>
    <w:rsid w:val="60B30D11"/>
    <w:rsid w:val="61F84590"/>
    <w:rsid w:val="63082955"/>
    <w:rsid w:val="64144C5B"/>
    <w:rsid w:val="64415DF9"/>
    <w:rsid w:val="644A27A0"/>
    <w:rsid w:val="65012146"/>
    <w:rsid w:val="651465E0"/>
    <w:rsid w:val="651C3634"/>
    <w:rsid w:val="65E757C0"/>
    <w:rsid w:val="66213BCE"/>
    <w:rsid w:val="669A3880"/>
    <w:rsid w:val="66A73EAC"/>
    <w:rsid w:val="67063BBD"/>
    <w:rsid w:val="670D457F"/>
    <w:rsid w:val="67FA53F6"/>
    <w:rsid w:val="68C059FC"/>
    <w:rsid w:val="68CA630A"/>
    <w:rsid w:val="68DC10FB"/>
    <w:rsid w:val="68EF5861"/>
    <w:rsid w:val="696C04C3"/>
    <w:rsid w:val="699C2C89"/>
    <w:rsid w:val="6B4F3F91"/>
    <w:rsid w:val="6B543355"/>
    <w:rsid w:val="6B6F018F"/>
    <w:rsid w:val="6B7D4D35"/>
    <w:rsid w:val="6CA22A41"/>
    <w:rsid w:val="6DE23EF6"/>
    <w:rsid w:val="6E593711"/>
    <w:rsid w:val="6E7E1C89"/>
    <w:rsid w:val="6F697ED6"/>
    <w:rsid w:val="6F892010"/>
    <w:rsid w:val="6FAC70B3"/>
    <w:rsid w:val="6FEF21B0"/>
    <w:rsid w:val="6FF53544"/>
    <w:rsid w:val="704B3F14"/>
    <w:rsid w:val="70B054D2"/>
    <w:rsid w:val="70DC2480"/>
    <w:rsid w:val="710F55E5"/>
    <w:rsid w:val="7198455D"/>
    <w:rsid w:val="72140190"/>
    <w:rsid w:val="721F0C9A"/>
    <w:rsid w:val="72B01810"/>
    <w:rsid w:val="7329390B"/>
    <w:rsid w:val="73347A19"/>
    <w:rsid w:val="74116A8A"/>
    <w:rsid w:val="7443172F"/>
    <w:rsid w:val="74C7103C"/>
    <w:rsid w:val="74EA4E12"/>
    <w:rsid w:val="74F160B9"/>
    <w:rsid w:val="753A6A47"/>
    <w:rsid w:val="75811786"/>
    <w:rsid w:val="75A20320"/>
    <w:rsid w:val="762C4582"/>
    <w:rsid w:val="76EE2C2B"/>
    <w:rsid w:val="77337DE6"/>
    <w:rsid w:val="77662FCD"/>
    <w:rsid w:val="77AE3A43"/>
    <w:rsid w:val="77DE1599"/>
    <w:rsid w:val="79634F3A"/>
    <w:rsid w:val="7B161F8E"/>
    <w:rsid w:val="7B2E5971"/>
    <w:rsid w:val="7BE34C17"/>
    <w:rsid w:val="7C0B57A7"/>
    <w:rsid w:val="7C30549F"/>
    <w:rsid w:val="7D407BB5"/>
    <w:rsid w:val="7E26154D"/>
    <w:rsid w:val="7F4867A8"/>
    <w:rsid w:val="7F682678"/>
    <w:rsid w:val="7FA92BC1"/>
    <w:rsid w:val="7FDE6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4"/>
    <w:autoRedefine/>
    <w:qFormat/>
    <w:uiPriority w:val="0"/>
  </w:style>
  <w:style w:type="paragraph" w:styleId="4">
    <w:name w:val="Body Text First Indent 2"/>
    <w:basedOn w:val="5"/>
    <w:next w:val="1"/>
    <w:autoRedefine/>
    <w:qFormat/>
    <w:uiPriority w:val="0"/>
    <w:pPr>
      <w:ind w:firstLine="420" w:firstLineChars="200"/>
    </w:pPr>
  </w:style>
  <w:style w:type="paragraph" w:styleId="5">
    <w:name w:val="Body Text Indent"/>
    <w:basedOn w:val="1"/>
    <w:next w:val="1"/>
    <w:autoRedefine/>
    <w:qFormat/>
    <w:uiPriority w:val="0"/>
    <w:pPr>
      <w:keepNext/>
      <w:widowControl w:val="0"/>
      <w:spacing w:line="360" w:lineRule="auto"/>
    </w:pPr>
    <w:rPr>
      <w:rFonts w:eastAsia="宋体"/>
      <w:sz w:val="24"/>
    </w:rPr>
  </w:style>
  <w:style w:type="paragraph" w:styleId="6">
    <w:name w:val="footer"/>
    <w:basedOn w:val="1"/>
    <w:autoRedefine/>
    <w:unhideWhenUsed/>
    <w:qFormat/>
    <w:uiPriority w:val="99"/>
    <w:pPr>
      <w:tabs>
        <w:tab w:val="center" w:pos="4153"/>
        <w:tab w:val="right" w:pos="8306"/>
      </w:tabs>
      <w:snapToGrid w:val="0"/>
      <w:jc w:val="left"/>
    </w:pPr>
    <w:rPr>
      <w:sz w:val="18"/>
      <w:szCs w:val="18"/>
    </w:rPr>
  </w:style>
  <w:style w:type="paragraph" w:customStyle="1" w:styleId="9">
    <w:name w:val="样式 正文缩进正文缩进2正文缩进 Char Char正文缩进 Char Char Char Char正文缩进 Char ..."/>
    <w:basedOn w:val="3"/>
    <w:autoRedefine/>
    <w:qFormat/>
    <w:uiPriority w:val="0"/>
    <w:pPr>
      <w:spacing w:line="360" w:lineRule="auto"/>
      <w:ind w:firstLine="200"/>
    </w:pPr>
    <w:rPr>
      <w:rFonts w:cs="宋体"/>
      <w:sz w:val="24"/>
    </w:rPr>
  </w:style>
  <w:style w:type="paragraph" w:customStyle="1" w:styleId="10">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1448</Words>
  <Characters>1519</Characters>
  <Lines>0</Lines>
  <Paragraphs>0</Paragraphs>
  <TotalTime>0</TotalTime>
  <ScaleCrop>false</ScaleCrop>
  <LinksUpToDate>false</LinksUpToDate>
  <CharactersWithSpaces>1548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乐途</cp:lastModifiedBy>
  <cp:lastPrinted>2024-02-22T02:51:00Z</cp:lastPrinted>
  <dcterms:modified xsi:type="dcterms:W3CDTF">2024-09-10T01:30:17Z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45D6C9F5CF3B4B248763E019B7BEE7C1_13</vt:lpwstr>
  </property>
</Properties>
</file>