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13" w:rsidRDefault="00067A6F">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国家税务总局鄂托克前旗税务局关于</w:t>
      </w:r>
    </w:p>
    <w:p w:rsidR="00B60613" w:rsidRDefault="00067A6F">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2020年度政府信息工作年报的报告</w:t>
      </w:r>
    </w:p>
    <w:p w:rsidR="00B60613" w:rsidRDefault="00B60613">
      <w:pPr>
        <w:spacing w:line="560" w:lineRule="exact"/>
        <w:rPr>
          <w:rFonts w:ascii="方正小标宋简体" w:eastAsia="方正小标宋简体" w:hAnsi="方正小标宋简体" w:cs="方正小标宋简体"/>
          <w:sz w:val="44"/>
          <w:szCs w:val="44"/>
        </w:rPr>
      </w:pPr>
    </w:p>
    <w:p w:rsidR="00B60613" w:rsidRDefault="00067A6F">
      <w:pPr>
        <w:spacing w:line="56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鄂托克前旗</w:t>
      </w:r>
      <w:r w:rsidR="00D970CA">
        <w:rPr>
          <w:rFonts w:ascii="仿宋_GB2312" w:eastAsia="仿宋_GB2312" w:hAnsi="宋体" w:cs="宋体" w:hint="eastAsia"/>
          <w:kern w:val="0"/>
          <w:sz w:val="32"/>
          <w:szCs w:val="32"/>
        </w:rPr>
        <w:t>政务公开领导小组办公室</w:t>
      </w:r>
      <w:r>
        <w:rPr>
          <w:rFonts w:ascii="仿宋_GB2312" w:eastAsia="仿宋_GB2312" w:hAnsi="宋体" w:cs="宋体" w:hint="eastAsia"/>
          <w:kern w:val="0"/>
          <w:sz w:val="32"/>
          <w:szCs w:val="32"/>
        </w:rPr>
        <w:t>：</w:t>
      </w:r>
    </w:p>
    <w:p w:rsidR="00B60613" w:rsidRDefault="00067A6F">
      <w:pPr>
        <w:spacing w:line="560" w:lineRule="exact"/>
        <w:ind w:firstLineChars="200" w:firstLine="640"/>
        <w:rPr>
          <w:rFonts w:ascii="黑体" w:eastAsia="黑体" w:hAnsi="黑体"/>
          <w:sz w:val="32"/>
          <w:szCs w:val="32"/>
        </w:rPr>
      </w:pPr>
      <w:r>
        <w:rPr>
          <w:rFonts w:ascii="黑体" w:eastAsia="黑体" w:hAnsi="黑体" w:hint="eastAsia"/>
          <w:sz w:val="32"/>
          <w:szCs w:val="32"/>
        </w:rPr>
        <w:t>一、总体情况</w:t>
      </w:r>
    </w:p>
    <w:p w:rsidR="00B60613" w:rsidRDefault="00067A6F">
      <w:pPr>
        <w:spacing w:line="560" w:lineRule="exact"/>
        <w:ind w:firstLineChars="200" w:firstLine="640"/>
        <w:rPr>
          <w:rFonts w:ascii="仿宋_GB2312" w:eastAsia="仿宋_GB2312"/>
          <w:sz w:val="32"/>
          <w:szCs w:val="32"/>
        </w:rPr>
      </w:pPr>
      <w:r>
        <w:rPr>
          <w:rFonts w:ascii="仿宋_GB2312" w:eastAsia="仿宋_GB2312" w:hint="eastAsia"/>
          <w:sz w:val="32"/>
          <w:szCs w:val="32"/>
        </w:rPr>
        <w:t>国家税务总局鄂托克前旗税务局坚持以习近平新时代中国特色社会主义思想为指导，认真学习贯彻国务院关于政务公开工作的重要指示精神，增强“四个意识”，坚定“四个自信”，做到“两个维护”，按照政务公开的决策部署贯彻落实要求，认真履行职责，坚持“以公开为常态、不公开为例外”，深入推动各项工作落到实处。</w:t>
      </w:r>
    </w:p>
    <w:p w:rsidR="00B60613" w:rsidRDefault="00067A6F">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（一）加强组织领导。</w:t>
      </w:r>
      <w:r>
        <w:rPr>
          <w:rFonts w:ascii="仿宋_GB2312" w:eastAsia="仿宋_GB2312" w:hint="eastAsia"/>
          <w:sz w:val="32"/>
          <w:szCs w:val="32"/>
        </w:rPr>
        <w:t>成立政务公开领导小组，完善工作机制，全面负责统筹推进政务公开的网站新媒体管理工作，通过加强人员配备，提供工作保障等充分发挥政务公开工作领导小组作用，并针对政府公开工作，定期召开工作例会，听取工作详细落实情况，及时跟进，确保政务公开各项工作稳步有序的开展。</w:t>
      </w:r>
      <w:r>
        <w:rPr>
          <w:rFonts w:eastAsia="仿宋_GB2312" w:hint="eastAsia"/>
          <w:sz w:val="32"/>
          <w:szCs w:val="32"/>
        </w:rPr>
        <w:t> </w:t>
      </w:r>
    </w:p>
    <w:p w:rsidR="00B60613" w:rsidRDefault="00067A6F">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（二）深化重点领域信息公开。</w:t>
      </w:r>
      <w:r>
        <w:rPr>
          <w:rFonts w:ascii="仿宋_GB2312" w:eastAsia="仿宋_GB2312" w:hint="eastAsia"/>
          <w:sz w:val="32"/>
          <w:szCs w:val="32"/>
        </w:rPr>
        <w:t>通过鄂托克前旗人民政府信息公开发布平台、国家税务总局内蒙古自治区税务局门户网站—盟市频道—旗县局信息公开栏目更新最新减税降费政策、“放管服”改革信息、预算信息等，做到该公开的内容及时、准确的公开，充分回应民生关切。</w:t>
      </w:r>
    </w:p>
    <w:p w:rsidR="00B60613" w:rsidRDefault="00067A6F">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（三）加强制度建设。</w:t>
      </w:r>
      <w:r>
        <w:rPr>
          <w:rFonts w:ascii="仿宋_GB2312" w:eastAsia="仿宋_GB2312" w:hint="eastAsia"/>
          <w:sz w:val="32"/>
          <w:szCs w:val="32"/>
        </w:rPr>
        <w:t>制定《国家税务总局鄂托克前旗税务</w:t>
      </w:r>
      <w:r>
        <w:rPr>
          <w:rFonts w:ascii="仿宋_GB2312" w:eastAsia="仿宋_GB2312" w:hint="eastAsia"/>
          <w:sz w:val="32"/>
          <w:szCs w:val="32"/>
        </w:rPr>
        <w:lastRenderedPageBreak/>
        <w:t>局政府信息公开指南》、《国家税务总局鄂托克前旗税务局信息公开告知书》、《国家税务总局鄂托克前旗税务局政府信息公开申请表》等各项工作制度和工作规程。同时结合首问责任制、一次性告知、限时办结等办税服务制度，把政务公开与税收工作紧密结合起来，着力营造便捷高效的税收营商环境，为政务公开工作提供环境保障。</w:t>
      </w:r>
    </w:p>
    <w:p w:rsidR="00B60613" w:rsidRDefault="00067A6F">
      <w:pPr>
        <w:spacing w:line="560" w:lineRule="exact"/>
        <w:ind w:firstLineChars="200" w:firstLine="640"/>
        <w:rPr>
          <w:rFonts w:ascii="仿宋_GB2312" w:eastAsia="仿宋_GB2312"/>
          <w:sz w:val="32"/>
          <w:szCs w:val="32"/>
        </w:rPr>
      </w:pPr>
      <w:r>
        <w:rPr>
          <w:rFonts w:ascii="楷体_GB2312" w:eastAsia="楷体_GB2312" w:hAnsi="楷体_GB2312" w:cs="楷体_GB2312" w:hint="eastAsia"/>
          <w:sz w:val="32"/>
          <w:szCs w:val="32"/>
        </w:rPr>
        <w:t>（四）强化监督培训。</w:t>
      </w:r>
      <w:r>
        <w:rPr>
          <w:rFonts w:ascii="仿宋_GB2312" w:eastAsia="仿宋_GB2312" w:hint="eastAsia"/>
          <w:sz w:val="32"/>
          <w:szCs w:val="32"/>
        </w:rPr>
        <w:t xml:space="preserve">结合政务公开工作相关要求，针对工作人员开展政府信息公开培训，不断提高政府信息公开工作的专业化、精细化能力。同时加强对于政务公开工作的监督检查，督促认真开展自查自纠，不断提升政府信息公开工作能力。 </w:t>
      </w:r>
    </w:p>
    <w:p w:rsidR="00B60613" w:rsidRDefault="00067A6F">
      <w:pPr>
        <w:spacing w:line="560" w:lineRule="exact"/>
        <w:rPr>
          <w:rFonts w:ascii="黑体" w:eastAsia="黑体" w:hAnsi="黑体"/>
          <w:sz w:val="32"/>
          <w:szCs w:val="32"/>
        </w:rPr>
      </w:pPr>
      <w:r>
        <w:rPr>
          <w:rFonts w:ascii="黑体" w:eastAsia="黑体" w:hAnsi="黑体" w:hint="eastAsia"/>
          <w:sz w:val="32"/>
          <w:szCs w:val="32"/>
        </w:rPr>
        <w:t xml:space="preserve">　　二、主动公开政府信息情况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921"/>
        <w:gridCol w:w="2158"/>
        <w:gridCol w:w="1785"/>
        <w:gridCol w:w="2223"/>
      </w:tblGrid>
      <w:tr w:rsidR="00B60613">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hint="eastAsia"/>
                <w:b/>
                <w:sz w:val="28"/>
                <w:szCs w:val="28"/>
              </w:rPr>
              <w:t>第二十条第（一）项</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本年新</w:t>
            </w:r>
          </w:p>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制作</w:t>
            </w:r>
            <w:bookmarkStart w:id="0" w:name="_GoBack"/>
            <w:bookmarkEnd w:id="0"/>
            <w:r>
              <w:rPr>
                <w:rFonts w:ascii="仿宋_GB2312" w:eastAsia="仿宋_GB2312" w:hint="eastAsia"/>
                <w:sz w:val="28"/>
                <w:szCs w:val="28"/>
              </w:rPr>
              <w:t>数量</w:t>
            </w:r>
          </w:p>
        </w:tc>
        <w:tc>
          <w:tcPr>
            <w:tcW w:w="165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本年新</w:t>
            </w:r>
          </w:p>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公开数量</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对外公开总数量</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规章</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165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规范性文件</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165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r>
      <w:tr w:rsidR="00B60613">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hint="eastAsia"/>
                <w:b/>
                <w:sz w:val="28"/>
                <w:szCs w:val="28"/>
              </w:rPr>
              <w:t>第二十条第（五）项</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上一年项目数量</w:t>
            </w:r>
          </w:p>
        </w:tc>
        <w:tc>
          <w:tcPr>
            <w:tcW w:w="165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本年增/减</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处理决定数量</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行政许可</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201</w:t>
            </w:r>
          </w:p>
        </w:tc>
        <w:tc>
          <w:tcPr>
            <w:tcW w:w="165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348</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348</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其他对外管理服务事项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165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r>
      <w:tr w:rsidR="00B60613">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hint="eastAsia"/>
                <w:b/>
                <w:sz w:val="28"/>
                <w:szCs w:val="28"/>
              </w:rPr>
              <w:t>第二十条第（六）项</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上一年项目数量</w:t>
            </w:r>
          </w:p>
        </w:tc>
        <w:tc>
          <w:tcPr>
            <w:tcW w:w="165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本年增/减</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处理决定数量</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lastRenderedPageBreak/>
              <w:t xml:space="preserve">　　行政处罚</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855</w:t>
            </w:r>
          </w:p>
        </w:tc>
        <w:tc>
          <w:tcPr>
            <w:tcW w:w="165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490</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490</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行政强制</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165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12</w:t>
            </w:r>
          </w:p>
        </w:tc>
        <w:tc>
          <w:tcPr>
            <w:tcW w:w="202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12</w:t>
            </w:r>
          </w:p>
        </w:tc>
      </w:tr>
      <w:tr w:rsidR="00B60613">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hint="eastAsia"/>
                <w:b/>
                <w:sz w:val="28"/>
                <w:szCs w:val="28"/>
              </w:rPr>
              <w:t>第二十条第（八）项</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上一年项目数量</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本年增/减</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行政事业性收费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0</w:t>
            </w:r>
          </w:p>
        </w:tc>
      </w:tr>
      <w:tr w:rsidR="00B60613">
        <w:trPr>
          <w:jc w:val="center"/>
        </w:trPr>
        <w:tc>
          <w:tcPr>
            <w:tcW w:w="8400" w:type="dxa"/>
            <w:gridSpan w:val="4"/>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hint="eastAsia"/>
                <w:b/>
                <w:sz w:val="28"/>
                <w:szCs w:val="28"/>
              </w:rPr>
              <w:t>第二十条第（九）项</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信息内容</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采购项目数量</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采购总金额</w:t>
            </w:r>
          </w:p>
        </w:tc>
      </w:tr>
      <w:tr w:rsidR="00B60613">
        <w:trPr>
          <w:jc w:val="center"/>
        </w:trPr>
        <w:tc>
          <w:tcPr>
            <w:tcW w:w="2700"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政府集中采购</w:t>
            </w:r>
          </w:p>
        </w:tc>
        <w:tc>
          <w:tcPr>
            <w:tcW w:w="1995" w:type="dxa"/>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1</w:t>
            </w:r>
          </w:p>
        </w:tc>
        <w:tc>
          <w:tcPr>
            <w:tcW w:w="3675" w:type="dxa"/>
            <w:gridSpan w:val="2"/>
            <w:tcBorders>
              <w:top w:val="outset" w:sz="6" w:space="0" w:color="000000"/>
              <w:left w:val="outset" w:sz="6" w:space="0" w:color="000000"/>
              <w:bottom w:val="outset" w:sz="6" w:space="0" w:color="000000"/>
              <w:right w:val="outset" w:sz="6" w:space="0" w:color="000000"/>
            </w:tcBorders>
            <w:noWrap/>
            <w:vAlign w:val="center"/>
          </w:tcPr>
          <w:p w:rsidR="00B60613" w:rsidRDefault="00067A6F">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176900</w:t>
            </w:r>
          </w:p>
        </w:tc>
      </w:tr>
    </w:tbl>
    <w:p w:rsidR="00B60613" w:rsidRDefault="00067A6F">
      <w:pPr>
        <w:spacing w:line="560" w:lineRule="exact"/>
        <w:rPr>
          <w:rFonts w:ascii="黑体" w:eastAsia="黑体" w:hAnsi="黑体"/>
          <w:sz w:val="32"/>
          <w:szCs w:val="32"/>
        </w:rPr>
      </w:pPr>
      <w:r>
        <w:rPr>
          <w:rFonts w:ascii="黑体" w:eastAsia="黑体" w:hAnsi="黑体" w:hint="eastAsia"/>
          <w:sz w:val="32"/>
          <w:szCs w:val="32"/>
        </w:rPr>
        <w:t xml:space="preserve">　　三、收到和处理政府信息公开申请情况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75"/>
        <w:gridCol w:w="855"/>
        <w:gridCol w:w="2114"/>
        <w:gridCol w:w="819"/>
        <w:gridCol w:w="760"/>
        <w:gridCol w:w="760"/>
        <w:gridCol w:w="819"/>
        <w:gridCol w:w="983"/>
        <w:gridCol w:w="716"/>
        <w:gridCol w:w="686"/>
      </w:tblGrid>
      <w:tr w:rsidR="00B60613">
        <w:trPr>
          <w:jc w:val="center"/>
        </w:trPr>
        <w:tc>
          <w:tcPr>
            <w:tcW w:w="3465" w:type="dxa"/>
            <w:gridSpan w:val="3"/>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（本列数据的勾稽关系为：第一项加第二项之和，等于第三项加第四项之和）</w:t>
            </w:r>
          </w:p>
        </w:tc>
        <w:tc>
          <w:tcPr>
            <w:tcW w:w="5580" w:type="dxa"/>
            <w:gridSpan w:val="7"/>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申请人情况</w:t>
            </w:r>
          </w:p>
        </w:tc>
      </w:tr>
      <w:tr w:rsidR="00B60613">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82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自然人</w:t>
            </w:r>
          </w:p>
        </w:tc>
        <w:tc>
          <w:tcPr>
            <w:tcW w:w="4065" w:type="dxa"/>
            <w:gridSpan w:val="5"/>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法人或其他组织</w:t>
            </w:r>
          </w:p>
        </w:tc>
        <w:tc>
          <w:tcPr>
            <w:tcW w:w="690"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总计</w:t>
            </w:r>
          </w:p>
        </w:tc>
      </w:tr>
      <w:tr w:rsidR="00B60613">
        <w:trPr>
          <w:jc w:val="center"/>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rPr>
                <w:rFonts w:ascii="仿宋_GB2312" w:eastAsia="仿宋_GB2312"/>
                <w:sz w:val="28"/>
                <w:szCs w:val="28"/>
              </w:rPr>
            </w:pP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商业企业</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科研机构</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社会公益组织</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法律服务机构</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rPr>
                <w:rFonts w:ascii="仿宋_GB2312" w:eastAsia="仿宋_GB2312"/>
                <w:sz w:val="28"/>
                <w:szCs w:val="28"/>
              </w:rPr>
            </w:pPr>
            <w:r>
              <w:rPr>
                <w:rFonts w:ascii="仿宋_GB2312" w:eastAsia="仿宋_GB2312" w:hint="eastAsia"/>
                <w:sz w:val="28"/>
                <w:szCs w:val="28"/>
              </w:rPr>
              <w:t xml:space="preserve">　　其他</w:t>
            </w: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r>
      <w:tr w:rsidR="00B60613">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一、本年新收政府信息公开申请数量</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二、上年结转政府信息公开申请数量</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480"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三、</w:t>
            </w:r>
            <w:r>
              <w:rPr>
                <w:rFonts w:ascii="仿宋_GB2312" w:eastAsia="仿宋_GB2312" w:hint="eastAsia"/>
                <w:sz w:val="28"/>
                <w:szCs w:val="28"/>
              </w:rPr>
              <w:lastRenderedPageBreak/>
              <w:t>本年度办理结果</w:t>
            </w:r>
          </w:p>
        </w:tc>
        <w:tc>
          <w:tcPr>
            <w:tcW w:w="2985" w:type="dxa"/>
            <w:gridSpan w:val="2"/>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lastRenderedPageBreak/>
              <w:t>（一）予以公开</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（二）部分公开（区分处</w:t>
            </w:r>
            <w:r>
              <w:rPr>
                <w:rFonts w:ascii="仿宋_GB2312" w:eastAsia="仿宋_GB2312" w:hint="eastAsia"/>
                <w:sz w:val="28"/>
                <w:szCs w:val="28"/>
              </w:rPr>
              <w:lastRenderedPageBreak/>
              <w:t>理的，只计这一情形，不计其他情形）</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（三）不予公开</w:t>
            </w: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1.属于国家秘密</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2.其他法律行政法规禁止公开</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3.危及“三安全一稳定”</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4.保护第三方合法权益</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5.属于三类内部事务信息</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6.属于四类过程性信息</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7.属于行政执法案卷</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8.属于行政查询事项</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（四）无法提供</w:t>
            </w: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1.本机关不掌握相关政府信息</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2.没有现成信息需要另行制作</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3.补正后申请内</w:t>
            </w:r>
            <w:r>
              <w:rPr>
                <w:rFonts w:ascii="仿宋_GB2312" w:eastAsia="仿宋_GB2312" w:hint="eastAsia"/>
                <w:sz w:val="28"/>
                <w:szCs w:val="28"/>
              </w:rPr>
              <w:lastRenderedPageBreak/>
              <w:t>容仍不明确</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8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（五）不予处理</w:t>
            </w: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1.信访举报投诉类申请</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2.重复申请</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3.要求提供公开出版物</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4.无正当理由大量反复申请</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13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5.要求行政机关确认或重新出具已获取信息</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（六）其他处理</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2985" w:type="dxa"/>
            <w:gridSpan w:val="2"/>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（七）总计</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r w:rsidR="00B60613">
        <w:trPr>
          <w:jc w:val="center"/>
        </w:trPr>
        <w:tc>
          <w:tcPr>
            <w:tcW w:w="3465" w:type="dxa"/>
            <w:gridSpan w:val="3"/>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四、结转下年度继续办理</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6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82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9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72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c>
          <w:tcPr>
            <w:tcW w:w="690"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0</w:t>
            </w:r>
          </w:p>
        </w:tc>
      </w:tr>
    </w:tbl>
    <w:p w:rsidR="00B60613" w:rsidRDefault="00067A6F">
      <w:pPr>
        <w:spacing w:line="560" w:lineRule="exact"/>
        <w:rPr>
          <w:rFonts w:ascii="黑体" w:eastAsia="黑体" w:hAnsi="黑体"/>
          <w:sz w:val="32"/>
          <w:szCs w:val="32"/>
        </w:rPr>
      </w:pPr>
      <w:r>
        <w:rPr>
          <w:rFonts w:ascii="黑体" w:eastAsia="黑体" w:hAnsi="黑体" w:hint="eastAsia"/>
          <w:sz w:val="32"/>
          <w:szCs w:val="32"/>
        </w:rPr>
        <w:t xml:space="preserve">　　四、政府信息公开行政复议、行政诉讼情况</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93"/>
        <w:gridCol w:w="593"/>
        <w:gridCol w:w="593"/>
        <w:gridCol w:w="593"/>
        <w:gridCol w:w="657"/>
        <w:gridCol w:w="593"/>
        <w:gridCol w:w="593"/>
        <w:gridCol w:w="593"/>
        <w:gridCol w:w="593"/>
        <w:gridCol w:w="657"/>
        <w:gridCol w:w="593"/>
        <w:gridCol w:w="593"/>
        <w:gridCol w:w="593"/>
        <w:gridCol w:w="593"/>
        <w:gridCol w:w="657"/>
      </w:tblGrid>
      <w:tr w:rsidR="00B60613">
        <w:trPr>
          <w:jc w:val="center"/>
        </w:trPr>
        <w:tc>
          <w:tcPr>
            <w:tcW w:w="2835" w:type="dxa"/>
            <w:gridSpan w:val="5"/>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行政复议</w:t>
            </w:r>
          </w:p>
        </w:tc>
        <w:tc>
          <w:tcPr>
            <w:tcW w:w="5670" w:type="dxa"/>
            <w:gridSpan w:val="10"/>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sz w:val="28"/>
                <w:szCs w:val="28"/>
              </w:rPr>
            </w:pPr>
            <w:r>
              <w:rPr>
                <w:rFonts w:ascii="仿宋_GB2312" w:eastAsia="仿宋_GB2312" w:hint="eastAsia"/>
                <w:sz w:val="28"/>
                <w:szCs w:val="28"/>
              </w:rPr>
              <w:t>行政诉讼</w:t>
            </w:r>
          </w:p>
        </w:tc>
      </w:tr>
      <w:tr w:rsidR="00B60613">
        <w:trPr>
          <w:jc w:val="center"/>
        </w:trPr>
        <w:tc>
          <w:tcPr>
            <w:tcW w:w="5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sz w:val="32"/>
                <w:szCs w:val="32"/>
              </w:rPr>
            </w:pPr>
            <w:r>
              <w:rPr>
                <w:rFonts w:ascii="仿宋_GB2312" w:eastAsia="仿宋_GB2312" w:hint="eastAsia"/>
                <w:sz w:val="32"/>
                <w:szCs w:val="32"/>
              </w:rPr>
              <w:t>结果维持</w:t>
            </w:r>
          </w:p>
        </w:tc>
        <w:tc>
          <w:tcPr>
            <w:tcW w:w="5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结果纠正</w:t>
            </w:r>
          </w:p>
        </w:tc>
        <w:tc>
          <w:tcPr>
            <w:tcW w:w="5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其他结果</w:t>
            </w:r>
          </w:p>
        </w:tc>
        <w:tc>
          <w:tcPr>
            <w:tcW w:w="5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尚未审结</w:t>
            </w:r>
          </w:p>
        </w:tc>
        <w:tc>
          <w:tcPr>
            <w:tcW w:w="555" w:type="dxa"/>
            <w:vMerge w:val="restart"/>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总计</w:t>
            </w:r>
          </w:p>
        </w:tc>
        <w:tc>
          <w:tcPr>
            <w:tcW w:w="2835" w:type="dxa"/>
            <w:gridSpan w:val="5"/>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sz w:val="28"/>
                <w:szCs w:val="28"/>
              </w:rPr>
            </w:pPr>
            <w:r>
              <w:rPr>
                <w:rFonts w:ascii="仿宋_GB2312" w:eastAsia="仿宋_GB2312" w:hint="eastAsia"/>
                <w:sz w:val="28"/>
                <w:szCs w:val="28"/>
              </w:rPr>
              <w:t>未经复议直接起诉</w:t>
            </w:r>
          </w:p>
        </w:tc>
        <w:tc>
          <w:tcPr>
            <w:tcW w:w="2835" w:type="dxa"/>
            <w:gridSpan w:val="5"/>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复议后起诉</w:t>
            </w:r>
          </w:p>
        </w:tc>
      </w:tr>
      <w:tr w:rsidR="00B60613">
        <w:trPr>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B60613" w:rsidRDefault="00B60613">
            <w:pPr>
              <w:spacing w:line="560" w:lineRule="exact"/>
              <w:rPr>
                <w:rFonts w:ascii="仿宋_GB2312" w:eastAsia="仿宋_GB2312"/>
                <w:sz w:val="28"/>
                <w:szCs w:val="28"/>
              </w:rPr>
            </w:pP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结果维持</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结果纠正</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其他结果</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尚未审结</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总计</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结果维持</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结果纠正</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其他结果</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尚未审结</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rPr>
                <w:rFonts w:ascii="仿宋_GB2312" w:eastAsia="仿宋_GB2312"/>
                <w:sz w:val="28"/>
                <w:szCs w:val="28"/>
              </w:rPr>
            </w:pPr>
            <w:r>
              <w:rPr>
                <w:rFonts w:ascii="仿宋_GB2312" w:eastAsia="仿宋_GB2312" w:hint="eastAsia"/>
                <w:sz w:val="28"/>
                <w:szCs w:val="28"/>
              </w:rPr>
              <w:t xml:space="preserve">　　总计</w:t>
            </w:r>
          </w:p>
        </w:tc>
      </w:tr>
      <w:tr w:rsidR="00B60613">
        <w:trPr>
          <w:jc w:val="center"/>
        </w:trPr>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c>
          <w:tcPr>
            <w:tcW w:w="555" w:type="dxa"/>
            <w:tcBorders>
              <w:top w:val="outset" w:sz="6" w:space="0" w:color="000000"/>
              <w:left w:val="outset" w:sz="6" w:space="0" w:color="000000"/>
              <w:bottom w:val="outset" w:sz="6" w:space="0" w:color="000000"/>
              <w:right w:val="outset" w:sz="6" w:space="0" w:color="000000"/>
            </w:tcBorders>
            <w:vAlign w:val="center"/>
          </w:tcPr>
          <w:p w:rsidR="00B60613" w:rsidRDefault="00067A6F">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0</w:t>
            </w:r>
          </w:p>
        </w:tc>
      </w:tr>
    </w:tbl>
    <w:p w:rsidR="00B60613" w:rsidRDefault="00067A6F">
      <w:pPr>
        <w:spacing w:line="560" w:lineRule="exact"/>
        <w:rPr>
          <w:rFonts w:ascii="黑体" w:eastAsia="黑体" w:hAnsi="黑体"/>
          <w:sz w:val="32"/>
          <w:szCs w:val="32"/>
        </w:rPr>
      </w:pPr>
      <w:r>
        <w:rPr>
          <w:rFonts w:ascii="黑体" w:eastAsia="黑体" w:hAnsi="黑体" w:hint="eastAsia"/>
          <w:sz w:val="32"/>
          <w:szCs w:val="32"/>
        </w:rPr>
        <w:t xml:space="preserve">　　五、存在的主要问题及改进情况</w:t>
      </w:r>
    </w:p>
    <w:p w:rsidR="00B60613" w:rsidRDefault="00067A6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2020年，国家税务总局鄂托克前旗税务局政府信息公开工作虽然取得了较好的成效，但在政府信息公开的广度、深度有待提升以及政策解读的全面性、及时性有待加强。2020年，国家税务总局鄂托克前旗税务局将认真贯彻落实国家税务总局和鄂托克前旗委、政府关于政府信息公开工作的各项安排部署，重点做好以下几项工作。</w:t>
      </w:r>
    </w:p>
    <w:p w:rsidR="00B60613" w:rsidRDefault="00067A6F">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一是进一步强化政策解读。围绕全国税收工作主题、主业和主线，全面公开、精准解读相关税费政策和服务措施。紧紧围绕纳税人缴费人关心关注的热点难点政策，重点做好减税降费、行政执法、专票电子化等内容的政策解读。二是进一步加强制度建设。在现有政务公开相关机制的基础上，梳理完善政府信息公开工作机制。充实完善政府信息公开发布流程、申请表等，做到依法依规。 </w:t>
      </w:r>
    </w:p>
    <w:p w:rsidR="00B60613" w:rsidRDefault="00067A6F">
      <w:pPr>
        <w:spacing w:line="560" w:lineRule="exact"/>
        <w:rPr>
          <w:rFonts w:ascii="黑体" w:eastAsia="黑体" w:hAnsi="黑体"/>
          <w:sz w:val="32"/>
          <w:szCs w:val="32"/>
        </w:rPr>
      </w:pPr>
      <w:r>
        <w:rPr>
          <w:rFonts w:ascii="黑体" w:eastAsia="黑体" w:hAnsi="黑体" w:hint="eastAsia"/>
          <w:sz w:val="32"/>
          <w:szCs w:val="32"/>
        </w:rPr>
        <w:t xml:space="preserve">　　六、其他需要报告的事项</w:t>
      </w:r>
    </w:p>
    <w:p w:rsidR="00B60613" w:rsidRDefault="00067A6F">
      <w:pPr>
        <w:spacing w:line="560" w:lineRule="exact"/>
        <w:rPr>
          <w:rFonts w:ascii="仿宋_GB2312" w:eastAsia="仿宋_GB2312"/>
          <w:sz w:val="32"/>
          <w:szCs w:val="32"/>
        </w:rPr>
      </w:pPr>
      <w:r>
        <w:rPr>
          <w:rFonts w:ascii="仿宋_GB2312" w:eastAsia="仿宋_GB2312" w:hint="eastAsia"/>
          <w:sz w:val="32"/>
          <w:szCs w:val="32"/>
        </w:rPr>
        <w:t xml:space="preserve">　　无其他报告事项。</w:t>
      </w:r>
    </w:p>
    <w:p w:rsidR="00B60613" w:rsidRDefault="00B60613">
      <w:pPr>
        <w:spacing w:line="560" w:lineRule="exact"/>
        <w:ind w:firstLineChars="200" w:firstLine="640"/>
        <w:rPr>
          <w:rFonts w:ascii="仿宋_GB2312" w:eastAsia="仿宋_GB2312"/>
          <w:sz w:val="32"/>
          <w:szCs w:val="32"/>
        </w:rPr>
      </w:pPr>
    </w:p>
    <w:p w:rsidR="00B60613" w:rsidRDefault="00B60613">
      <w:pPr>
        <w:spacing w:line="560" w:lineRule="exact"/>
        <w:ind w:firstLineChars="200" w:firstLine="640"/>
        <w:rPr>
          <w:rFonts w:ascii="仿宋_GB2312" w:eastAsia="仿宋_GB2312"/>
          <w:sz w:val="32"/>
          <w:szCs w:val="32"/>
        </w:rPr>
      </w:pPr>
    </w:p>
    <w:p w:rsidR="00B60613" w:rsidRDefault="00067A6F">
      <w:pPr>
        <w:spacing w:line="560" w:lineRule="exact"/>
        <w:ind w:firstLineChars="1300" w:firstLine="4160"/>
        <w:rPr>
          <w:rFonts w:ascii="仿宋_GB2312" w:eastAsia="仿宋_GB2312"/>
          <w:sz w:val="32"/>
          <w:szCs w:val="32"/>
        </w:rPr>
      </w:pPr>
      <w:r>
        <w:rPr>
          <w:rFonts w:ascii="仿宋_GB2312" w:eastAsia="仿宋_GB2312" w:hint="eastAsia"/>
          <w:sz w:val="32"/>
          <w:szCs w:val="32"/>
        </w:rPr>
        <w:t>国家税务总局鄂托克前旗税务局</w:t>
      </w:r>
    </w:p>
    <w:p w:rsidR="00B60613" w:rsidRDefault="00067A6F">
      <w:pPr>
        <w:spacing w:line="560" w:lineRule="exact"/>
        <w:ind w:firstLineChars="1650" w:firstLine="5280"/>
        <w:rPr>
          <w:rFonts w:ascii="仿宋_GB2312" w:eastAsia="仿宋_GB2312"/>
          <w:sz w:val="32"/>
          <w:szCs w:val="32"/>
        </w:rPr>
      </w:pPr>
      <w:r>
        <w:rPr>
          <w:rFonts w:ascii="仿宋_GB2312" w:eastAsia="仿宋_GB2312" w:hint="eastAsia"/>
          <w:sz w:val="32"/>
          <w:szCs w:val="32"/>
        </w:rPr>
        <w:t>2021年1月18日</w:t>
      </w:r>
    </w:p>
    <w:sectPr w:rsidR="00B60613" w:rsidSect="00B60613">
      <w:footerReference w:type="even" r:id="rId7"/>
      <w:footerReference w:type="default" r:id="rId8"/>
      <w:pgSz w:w="11906" w:h="16838"/>
      <w:pgMar w:top="2155" w:right="1361" w:bottom="1985"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F7E" w:rsidRDefault="00507F7E" w:rsidP="00B60613">
      <w:r>
        <w:separator/>
      </w:r>
    </w:p>
  </w:endnote>
  <w:endnote w:type="continuationSeparator" w:id="1">
    <w:p w:rsidR="00507F7E" w:rsidRDefault="00507F7E" w:rsidP="00B606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13" w:rsidRDefault="00E7362E">
    <w:pPr>
      <w:pStyle w:val="a4"/>
      <w:framePr w:wrap="around" w:vAnchor="text" w:hAnchor="margin" w:xAlign="center" w:y="1"/>
      <w:rPr>
        <w:rStyle w:val="a7"/>
      </w:rPr>
    </w:pPr>
    <w:r>
      <w:fldChar w:fldCharType="begin"/>
    </w:r>
    <w:r w:rsidR="00067A6F">
      <w:rPr>
        <w:rStyle w:val="a7"/>
      </w:rPr>
      <w:instrText xml:space="preserve">PAGE  </w:instrText>
    </w:r>
    <w:r>
      <w:fldChar w:fldCharType="end"/>
    </w:r>
  </w:p>
  <w:p w:rsidR="00B60613" w:rsidRDefault="00B6061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13" w:rsidRDefault="00E7362E">
    <w:pPr>
      <w:pStyle w:val="a4"/>
    </w:pPr>
    <w:r>
      <w:pict>
        <v:shapetype id="_x0000_t202" coordsize="21600,21600" o:spt="202" path="m,l,21600r21600,l21600,xe">
          <v:stroke joinstyle="miter"/>
          <v:path gradientshapeok="t" o:connecttype="rect"/>
        </v:shapetype>
        <v:shape id="_x0000_s2049" type="#_x0000_t202" style="position:absolute;margin-left:208pt;margin-top:0;width:2in;height:2in;z-index:251658240;mso-wrap-style:none;mso-position-horizontal:outside;mso-position-horizontal-relative:margin" filled="f" stroked="f">
          <v:textbox style="mso-fit-shape-to-text:t" inset="0,0,0,0">
            <w:txbxContent>
              <w:p w:rsidR="00B60613" w:rsidRDefault="00067A6F">
                <w:pPr>
                  <w:pStyle w:val="a4"/>
                  <w:rPr>
                    <w:rStyle w:val="a7"/>
                    <w:rFonts w:ascii="宋体" w:hAnsi="宋体" w:cs="宋体"/>
                    <w:sz w:val="28"/>
                    <w:szCs w:val="28"/>
                  </w:rPr>
                </w:pPr>
                <w:r>
                  <w:rPr>
                    <w:rFonts w:ascii="宋体" w:hAnsi="宋体" w:cs="宋体" w:hint="eastAsia"/>
                    <w:sz w:val="28"/>
                    <w:szCs w:val="28"/>
                  </w:rPr>
                  <w:t xml:space="preserve">- </w:t>
                </w:r>
                <w:r w:rsidR="00E7362E">
                  <w:rPr>
                    <w:rFonts w:ascii="宋体" w:hAnsi="宋体" w:cs="宋体" w:hint="eastAsia"/>
                    <w:sz w:val="28"/>
                    <w:szCs w:val="28"/>
                  </w:rPr>
                  <w:fldChar w:fldCharType="begin"/>
                </w:r>
                <w:r>
                  <w:rPr>
                    <w:rStyle w:val="a7"/>
                    <w:rFonts w:ascii="宋体" w:hAnsi="宋体" w:cs="宋体" w:hint="eastAsia"/>
                    <w:sz w:val="28"/>
                    <w:szCs w:val="28"/>
                  </w:rPr>
                  <w:instrText xml:space="preserve">PAGE  </w:instrText>
                </w:r>
                <w:r w:rsidR="00E7362E">
                  <w:rPr>
                    <w:rFonts w:ascii="宋体" w:hAnsi="宋体" w:cs="宋体" w:hint="eastAsia"/>
                    <w:sz w:val="28"/>
                    <w:szCs w:val="28"/>
                  </w:rPr>
                  <w:fldChar w:fldCharType="separate"/>
                </w:r>
                <w:r w:rsidR="00F40F3C">
                  <w:rPr>
                    <w:rStyle w:val="a7"/>
                    <w:rFonts w:ascii="宋体" w:hAnsi="宋体" w:cs="宋体"/>
                    <w:noProof/>
                    <w:sz w:val="28"/>
                    <w:szCs w:val="28"/>
                  </w:rPr>
                  <w:t>1</w:t>
                </w:r>
                <w:r w:rsidR="00E7362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F7E" w:rsidRDefault="00507F7E" w:rsidP="00B60613">
      <w:r>
        <w:separator/>
      </w:r>
    </w:p>
  </w:footnote>
  <w:footnote w:type="continuationSeparator" w:id="1">
    <w:p w:rsidR="00507F7E" w:rsidRDefault="00507F7E" w:rsidP="00B60613">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高平">
    <w15:presenceInfo w15:providerId="None" w15:userId="高平"/>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7AB3"/>
    <w:rsid w:val="000433DD"/>
    <w:rsid w:val="00045BA3"/>
    <w:rsid w:val="00067A6F"/>
    <w:rsid w:val="000D1904"/>
    <w:rsid w:val="001A6086"/>
    <w:rsid w:val="00273778"/>
    <w:rsid w:val="002873AD"/>
    <w:rsid w:val="00294A2A"/>
    <w:rsid w:val="002B649C"/>
    <w:rsid w:val="002B6548"/>
    <w:rsid w:val="002E4468"/>
    <w:rsid w:val="003058E8"/>
    <w:rsid w:val="003277E3"/>
    <w:rsid w:val="003F55D6"/>
    <w:rsid w:val="00444C7E"/>
    <w:rsid w:val="004A5896"/>
    <w:rsid w:val="004D3AAB"/>
    <w:rsid w:val="004E52D0"/>
    <w:rsid w:val="00507F7E"/>
    <w:rsid w:val="005259CE"/>
    <w:rsid w:val="00565CB2"/>
    <w:rsid w:val="00615665"/>
    <w:rsid w:val="00657917"/>
    <w:rsid w:val="00711857"/>
    <w:rsid w:val="00747AB3"/>
    <w:rsid w:val="00773538"/>
    <w:rsid w:val="007D66D4"/>
    <w:rsid w:val="007F6747"/>
    <w:rsid w:val="008567AE"/>
    <w:rsid w:val="008733D3"/>
    <w:rsid w:val="008D23BA"/>
    <w:rsid w:val="00903741"/>
    <w:rsid w:val="009303FA"/>
    <w:rsid w:val="00980976"/>
    <w:rsid w:val="00A6508F"/>
    <w:rsid w:val="00AD4AF9"/>
    <w:rsid w:val="00AF7C79"/>
    <w:rsid w:val="00B33DCA"/>
    <w:rsid w:val="00B6050E"/>
    <w:rsid w:val="00B60613"/>
    <w:rsid w:val="00B87779"/>
    <w:rsid w:val="00BC3259"/>
    <w:rsid w:val="00BC68FF"/>
    <w:rsid w:val="00BD1A7C"/>
    <w:rsid w:val="00BF1981"/>
    <w:rsid w:val="00C141A4"/>
    <w:rsid w:val="00C730EC"/>
    <w:rsid w:val="00D1152E"/>
    <w:rsid w:val="00D21AC6"/>
    <w:rsid w:val="00D23825"/>
    <w:rsid w:val="00D4199E"/>
    <w:rsid w:val="00D970CA"/>
    <w:rsid w:val="00DB7310"/>
    <w:rsid w:val="00DD6B28"/>
    <w:rsid w:val="00E10DE8"/>
    <w:rsid w:val="00E3439A"/>
    <w:rsid w:val="00E4313A"/>
    <w:rsid w:val="00E7362E"/>
    <w:rsid w:val="00EE7E44"/>
    <w:rsid w:val="00F04D17"/>
    <w:rsid w:val="00F40F3C"/>
    <w:rsid w:val="00FE72F3"/>
    <w:rsid w:val="18BF6AFB"/>
    <w:rsid w:val="212746D4"/>
    <w:rsid w:val="21BA53C7"/>
    <w:rsid w:val="34BC44FC"/>
    <w:rsid w:val="362450CB"/>
    <w:rsid w:val="60AE19EE"/>
    <w:rsid w:val="618A28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Default Paragraph Font" w:semiHidden="1" w:uiPriority="1" w:unhideWhenUsed="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B60613"/>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B60613"/>
    <w:rPr>
      <w:sz w:val="18"/>
      <w:szCs w:val="18"/>
    </w:rPr>
  </w:style>
  <w:style w:type="paragraph" w:styleId="a4">
    <w:name w:val="footer"/>
    <w:basedOn w:val="a"/>
    <w:rsid w:val="00B60613"/>
    <w:pPr>
      <w:tabs>
        <w:tab w:val="center" w:pos="4153"/>
        <w:tab w:val="right" w:pos="8306"/>
      </w:tabs>
      <w:snapToGrid w:val="0"/>
      <w:jc w:val="left"/>
    </w:pPr>
    <w:rPr>
      <w:sz w:val="18"/>
      <w:szCs w:val="18"/>
    </w:rPr>
  </w:style>
  <w:style w:type="paragraph" w:styleId="a5">
    <w:name w:val="header"/>
    <w:basedOn w:val="a"/>
    <w:link w:val="Char0"/>
    <w:rsid w:val="00B60613"/>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B60613"/>
    <w:pPr>
      <w:widowControl/>
      <w:spacing w:before="100" w:beforeAutospacing="1" w:after="100" w:afterAutospacing="1"/>
      <w:jc w:val="left"/>
    </w:pPr>
    <w:rPr>
      <w:rFonts w:ascii="宋体" w:hAnsi="宋体" w:cs="宋体"/>
      <w:kern w:val="0"/>
      <w:sz w:val="24"/>
    </w:rPr>
  </w:style>
  <w:style w:type="character" w:styleId="a7">
    <w:name w:val="page number"/>
    <w:basedOn w:val="a0"/>
    <w:rsid w:val="00B60613"/>
  </w:style>
  <w:style w:type="character" w:customStyle="1" w:styleId="Char0">
    <w:name w:val="页眉 Char"/>
    <w:basedOn w:val="a0"/>
    <w:link w:val="a5"/>
    <w:rsid w:val="00B60613"/>
    <w:rPr>
      <w:kern w:val="2"/>
      <w:sz w:val="18"/>
      <w:szCs w:val="18"/>
    </w:rPr>
  </w:style>
  <w:style w:type="character" w:customStyle="1" w:styleId="Char">
    <w:name w:val="批注框文本 Char"/>
    <w:basedOn w:val="a0"/>
    <w:link w:val="a3"/>
    <w:qFormat/>
    <w:rsid w:val="00B6061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382</Words>
  <Characters>2181</Characters>
  <Application>Microsoft Office Word</Application>
  <DocSecurity>0</DocSecurity>
  <Lines>18</Lines>
  <Paragraphs>5</Paragraphs>
  <ScaleCrop>false</ScaleCrop>
  <Company>Microsoft China</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dc:creator>
  <cp:lastModifiedBy>Sky123.Org</cp:lastModifiedBy>
  <cp:revision>14</cp:revision>
  <cp:lastPrinted>2021-01-18T09:32:00Z</cp:lastPrinted>
  <dcterms:created xsi:type="dcterms:W3CDTF">2021-01-18T03:51:00Z</dcterms:created>
  <dcterms:modified xsi:type="dcterms:W3CDTF">2021-01-22T00:53:00Z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