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882" w:leftChars="420" w:firstLine="880" w:firstLineChars="200"/>
        <w:textAlignment w:val="auto"/>
        <w:rPr>
          <w:rFonts w:hint="eastAsia" w:ascii="新宋体" w:hAnsi="新宋体" w:eastAsia="新宋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882" w:leftChars="420" w:firstLine="880" w:firstLineChars="200"/>
        <w:textAlignment w:val="auto"/>
        <w:rPr>
          <w:rFonts w:hint="eastAsia" w:ascii="新宋体" w:hAnsi="新宋体" w:eastAsia="新宋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882" w:leftChars="420" w:firstLine="880" w:firstLineChars="200"/>
        <w:textAlignment w:val="auto"/>
        <w:rPr>
          <w:rFonts w:hint="eastAsia" w:ascii="新宋体" w:hAnsi="新宋体" w:eastAsia="新宋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882" w:leftChars="420" w:firstLine="880" w:firstLineChars="200"/>
        <w:textAlignment w:val="auto"/>
        <w:rPr>
          <w:rFonts w:hint="eastAsia" w:ascii="新宋体" w:hAnsi="新宋体" w:eastAsia="新宋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882" w:leftChars="420" w:firstLine="880" w:firstLineChars="200"/>
        <w:textAlignment w:val="auto"/>
        <w:rPr>
          <w:rFonts w:hint="eastAsia" w:ascii="新宋体" w:hAnsi="新宋体" w:eastAsia="新宋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882" w:leftChars="420" w:firstLine="880" w:firstLineChars="200"/>
        <w:textAlignment w:val="auto"/>
        <w:rPr>
          <w:rFonts w:hint="eastAsia" w:ascii="新宋体" w:hAnsi="新宋体" w:eastAsia="新宋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882" w:leftChars="420" w:firstLine="880" w:firstLineChars="200"/>
        <w:textAlignment w:val="auto"/>
        <w:rPr>
          <w:rFonts w:hint="eastAsia" w:ascii="新宋体" w:hAnsi="新宋体" w:eastAsia="新宋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20" w:firstLineChars="100"/>
        <w:jc w:val="both"/>
        <w:textAlignment w:val="auto"/>
        <w:rPr>
          <w:rFonts w:hint="eastAsia" w:ascii="仿宋_GB2312" w:hAnsi="仿宋_GB2312" w:eastAsia="仿宋_GB2312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宋体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鄂前环卫字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〔</w:t>
      </w:r>
      <w:r>
        <w:rPr>
          <w:rFonts w:hint="eastAsia" w:ascii="仿宋_GB2312" w:hAnsi="仿宋_GB2312" w:eastAsia="仿宋_GB2312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〕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 xml:space="preserve">号   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签发人：</w:t>
      </w:r>
      <w:r>
        <w:rPr>
          <w:rFonts w:hint="eastAsia" w:ascii="楷体_GB2312" w:hAnsi="仿宋_GB2312" w:eastAsia="楷体_GB2312" w:cs="宋体"/>
          <w:kern w:val="0"/>
          <w:sz w:val="32"/>
          <w:szCs w:val="32"/>
          <w:lang w:eastAsia="zh-CN"/>
        </w:rPr>
        <w:t>石斌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鄂托克前旗环境卫生管理局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2020年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政府信息公开工作年度报告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鄂托克前旗政务公开领导小组办公室：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根据《中华人民共和国政府信息公开条例》和自治区、市、旗政务公开办的有关要求，特向社会公布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20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年度鄂前旗环卫局政府信息公开年度报告。本报告数据统计时限为20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年1月1日至12月31日。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一、总体情况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2020年，鄂前旗环卫局认真贯彻党的十九大和十九届三中、四中、五中全会精神和习近平总书记系列重要讲话精神，遵循《中华人民共和国政府信息公开条例》，结合环卫实际，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进一步深化公开内容，拓展公开渠道，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切实加大政务信息主动公开力度，积极推进环卫工作重点领域的信息公开，积极回应群众关切，充分保障公众知情权、参与权和监督权。</w:t>
      </w:r>
    </w:p>
    <w:p>
      <w:pPr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（一）加强组织领导，健全完善机制。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始终把做好政务信息公开工作列入单位工作议事日程。同时，根据人员变动，及时对局政府信息公开工作领导小组人员进行调整充实。健全领导机制，确保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环卫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局的政府信息工作顺利开展。</w:t>
      </w:r>
    </w:p>
    <w:p>
      <w:pPr>
        <w:ind w:firstLine="640" w:firstLineChars="200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（二）丰富公开内容，内容更新及时。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  <w:t>为进一步规范政府信息公开内容，提升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环卫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  <w:t>信息公开工作水平，主要做法：一是公开的内容更加充实。对政务信息公开的范围、内容、形式、制度等作了进一步的明确，按照组织健全、制度严密、标准统一、运作规范的要求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,做好政务信息公开内容的补充以及已公开内容的删补。二是公开的时间更加及时。针对公开项目的不同情况，确定公开时间，做到常规性工作定期公开，临时性工作随时公开，固定性工作长期公开。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安排专人负责局网站信息公开的维护管理和公开信息的编辑、审核，有效保证信息公开内容的数量及频率。</w:t>
      </w:r>
    </w:p>
    <w:p>
      <w:pPr>
        <w:ind w:firstLine="640" w:firstLineChars="200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（三）公开形式多样，信息内容全面。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我局在政府信息公开工作方面建立了多项措施，丰富信息公开形式。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 充分发挥鄂前旗政府信息公开网站这个网络平台进行政府信息公开，公开大量环卫信息。</w:t>
      </w:r>
      <w:r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全年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在政府信息公开专页上公开各类信息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13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 积极开展与新闻单位合作，充分运用新闻媒体，公开政府信息，宣传环卫工作。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3.积极应用政务网站、微信等新媒体，及时发布全旗环卫信息和回应群众关切。</w:t>
      </w:r>
    </w:p>
    <w:p>
      <w:pPr>
        <w:spacing w:line="560" w:lineRule="exact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　　二、主动公开政府信息情况</w:t>
      </w:r>
    </w:p>
    <w:tbl>
      <w:tblPr>
        <w:tblStyle w:val="2"/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37"/>
        <w:gridCol w:w="2096"/>
        <w:gridCol w:w="1734"/>
        <w:gridCol w:w="2160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　　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第二十条第（一）项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本年新</w:t>
            </w:r>
          </w:p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制作数量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本年新</w:t>
            </w:r>
          </w:p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公开数量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对外公开总数量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规章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规范性文件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第二十条第（五）项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上一年项目数量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本年增/减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行政许可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其他对外管理服务事项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第二十条第（六）项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上一年项目数量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本年增/减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行政处罚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行政强制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第二十条第（八）项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上一年项目数量</w:t>
            </w:r>
          </w:p>
        </w:tc>
        <w:tc>
          <w:tcPr>
            <w:tcW w:w="367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本年增/减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行政事业性收费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67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第二十条第（九）项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采购项目数量</w:t>
            </w:r>
          </w:p>
        </w:tc>
        <w:tc>
          <w:tcPr>
            <w:tcW w:w="367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采购总金额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政府集中采购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67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jc w:val="center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三、收到和处理政府信息公开申请情况</w:t>
      </w:r>
    </w:p>
    <w:tbl>
      <w:tblPr>
        <w:tblStyle w:val="2"/>
        <w:tblW w:w="5025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8"/>
        <w:gridCol w:w="859"/>
        <w:gridCol w:w="2044"/>
        <w:gridCol w:w="795"/>
        <w:gridCol w:w="739"/>
        <w:gridCol w:w="739"/>
        <w:gridCol w:w="795"/>
        <w:gridCol w:w="952"/>
        <w:gridCol w:w="697"/>
        <w:gridCol w:w="673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（本列数据的勾稽关系为：第一项加第二项之和，等于第三项加第四项之和）</w:t>
            </w:r>
          </w:p>
        </w:tc>
        <w:tc>
          <w:tcPr>
            <w:tcW w:w="5561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申请人情况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21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自然人</w:t>
            </w:r>
          </w:p>
        </w:tc>
        <w:tc>
          <w:tcPr>
            <w:tcW w:w="4049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商业企业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科研机构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社会公益组织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法律服务机构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一、本年新收政府信息公开申请数量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二、上年结转政府信息公开申请数量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8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三、本年度办理结果</w:t>
            </w:r>
          </w:p>
        </w:tc>
        <w:tc>
          <w:tcPr>
            <w:tcW w:w="2979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（一）予以公开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（二）部分公开（区分处理的，只计这一情形，不计其他情形）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9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（三）不予公开</w:t>
            </w:r>
          </w:p>
        </w:tc>
        <w:tc>
          <w:tcPr>
            <w:tcW w:w="21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1.属于国家秘密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2.其他法律行政法规禁止公开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3.危及“三安全一稳定”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4.保护第三方合法权益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5.属于三类内部事务信息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6.属于四类过程性信息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7.属于行政执法案卷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8.属于行政查询事项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9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（四）无法提供</w:t>
            </w:r>
          </w:p>
        </w:tc>
        <w:tc>
          <w:tcPr>
            <w:tcW w:w="21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1.本机关不掌握相关政府信息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2.没有现成信息需要另行制作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3.补正后申请内容仍不明确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9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（五）不予处理</w:t>
            </w:r>
          </w:p>
        </w:tc>
        <w:tc>
          <w:tcPr>
            <w:tcW w:w="21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1.信访举报投诉类申请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2.重复申请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3.要求提供公开出版物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4.无正当理由大量反复申请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5.要求行政机关确认或重新出具已获取信息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（六）其他处理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（七）总计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四、结转下年度继续办理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6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jc w:val="center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四、政府信息公开行政复议、行政诉讼情况</w:t>
      </w:r>
    </w:p>
    <w:tbl>
      <w:tblPr>
        <w:tblStyle w:val="2"/>
        <w:tblW w:w="5008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577"/>
        <w:gridCol w:w="577"/>
        <w:gridCol w:w="577"/>
        <w:gridCol w:w="638"/>
        <w:gridCol w:w="577"/>
        <w:gridCol w:w="577"/>
        <w:gridCol w:w="577"/>
        <w:gridCol w:w="577"/>
        <w:gridCol w:w="638"/>
        <w:gridCol w:w="577"/>
        <w:gridCol w:w="577"/>
        <w:gridCol w:w="577"/>
        <w:gridCol w:w="577"/>
        <w:gridCol w:w="639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29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行政复议</w:t>
            </w:r>
          </w:p>
        </w:tc>
        <w:tc>
          <w:tcPr>
            <w:tcW w:w="6058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行政诉讼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3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结果维持</w:t>
            </w:r>
          </w:p>
        </w:tc>
        <w:tc>
          <w:tcPr>
            <w:tcW w:w="593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结果纠正</w:t>
            </w:r>
          </w:p>
        </w:tc>
        <w:tc>
          <w:tcPr>
            <w:tcW w:w="593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其他结果</w:t>
            </w:r>
          </w:p>
        </w:tc>
        <w:tc>
          <w:tcPr>
            <w:tcW w:w="593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尚未审结</w:t>
            </w:r>
          </w:p>
        </w:tc>
        <w:tc>
          <w:tcPr>
            <w:tcW w:w="657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总计</w:t>
            </w:r>
          </w:p>
        </w:tc>
        <w:tc>
          <w:tcPr>
            <w:tcW w:w="3029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未经复议直接起诉</w:t>
            </w:r>
          </w:p>
        </w:tc>
        <w:tc>
          <w:tcPr>
            <w:tcW w:w="3029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复议后起诉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结果维持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结果纠正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其他结果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尚未审结</w:t>
            </w:r>
          </w:p>
        </w:tc>
        <w:tc>
          <w:tcPr>
            <w:tcW w:w="6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总计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结果维持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结果纠正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其他结果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尚未审结</w:t>
            </w:r>
          </w:p>
        </w:tc>
        <w:tc>
          <w:tcPr>
            <w:tcW w:w="6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　　五、存在的主要问题及改进情况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环卫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局政府信息公开工作在上级主管部门的正确领导下，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  <w:t>在政府信息公开工作方面主要存在的问题：一是信息公开的格式需要进一步规范；二是时效需进一步提高，信息更新不够及时。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年，我们将针对存在的问题，制定工作计划，采取有效的措施，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  <w:t>切实提高认识，加强《政府信息公开条例》的学习宣传。始终将政务公开作为本局的工作重要内容，认真抓好落实，进一步提高干部职工的思想认识，不断增强做好政务公开工作的责任感和使命感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  <w:t>进一步发挥我局门户网站和微信公众号的作用，加大网上公开的范围，及时更新网站内容，切实为公众提供快捷方便的服务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鄂托克前旗环境卫生管理局</w:t>
      </w:r>
    </w:p>
    <w:p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2020年1月26日</w:t>
      </w: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80" w:lineRule="exact"/>
        <w:ind w:firstLine="210" w:firstLineChars="100"/>
        <w:textAlignment w:val="baseline"/>
        <w:rPr>
          <w:rFonts w:hint="eastAsia" w:ascii="仿宋_GB2312" w:hAnsi="黑体" w:eastAsia="仿宋_GB2312" w:cs="黑体"/>
          <w:sz w:val="32"/>
          <w:szCs w:val="32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29210</wp:posOffset>
                </wp:positionV>
                <wp:extent cx="5615305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85pt;margin-top:2.3pt;height:0.05pt;width:442.15pt;z-index:-251656192;mso-width-relative:page;mso-height-relative:page;" filled="f" stroked="t" coordsize="21600,21600" o:gfxdata="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Ess4nUAAAABQEAAA8AAAAAAAAAAQAgAAAAIgAAAGRycy9kb3ducmV2LnhtbFBLAQIUABQA&#10;AAAIAIdO4kBw8Ckf9AEAAOYDAAAOAAAAAAAAAAEAIAAAACM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Ans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496570</wp:posOffset>
                </wp:positionV>
                <wp:extent cx="5615305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85pt;margin-top:39.1pt;height:0.05pt;width:442.15pt;z-index:-251655168;mso-width-relative:page;mso-height-relative:page;" filled="f" stroked="t" coordsize="21600,21600" o:gfxdata="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VwtKDWAAAABwEAAA8AAAAAAAAAAQAgAAAAIgAAAGRycy9kb3ducmV2LnhtbFBLAQIU&#10;ABQAAAAIAIdO4kDd7ZJe9QEAAOY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Ansi="仿宋_GB2312" w:eastAsia="仿宋_GB2312"/>
          <w:sz w:val="28"/>
          <w:szCs w:val="28"/>
        </w:rPr>
        <w:t xml:space="preserve"> </w:t>
      </w:r>
      <w:r>
        <w:rPr>
          <w:rFonts w:hint="eastAsia" w:hAnsi="仿宋_GB2312" w:eastAsia="仿宋_GB2312" w:cs="仿宋_GB2312"/>
          <w:sz w:val="28"/>
          <w:szCs w:val="28"/>
        </w:rPr>
        <w:t>鄂托克前旗环境卫生管理局</w:t>
      </w:r>
      <w:r>
        <w:rPr>
          <w:rFonts w:eastAsia="仿宋_GB2312"/>
          <w:sz w:val="28"/>
          <w:szCs w:val="28"/>
        </w:rPr>
        <w:t xml:space="preserve">           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hint="eastAsia" w:hAnsi="仿宋_GB2312" w:eastAsia="仿宋_GB2312"/>
          <w:sz w:val="28"/>
          <w:szCs w:val="28"/>
          <w:lang w:val="en-US" w:eastAsia="zh-CN"/>
        </w:rPr>
        <w:t>2020</w:t>
      </w:r>
      <w:r>
        <w:rPr>
          <w:rFonts w:hint="eastAsia" w:hAnsi="仿宋_GB2312" w:eastAsia="仿宋_GB2312" w:cs="仿宋_GB2312"/>
          <w:sz w:val="28"/>
          <w:szCs w:val="28"/>
        </w:rPr>
        <w:t>年</w:t>
      </w:r>
      <w:r>
        <w:rPr>
          <w:rFonts w:hint="eastAsia" w:hAnsi="仿宋_GB2312" w:eastAsia="仿宋_GB2312"/>
          <w:sz w:val="28"/>
          <w:szCs w:val="28"/>
          <w:lang w:val="en-US" w:eastAsia="zh-CN"/>
        </w:rPr>
        <w:t>1</w:t>
      </w:r>
      <w:r>
        <w:rPr>
          <w:rFonts w:hint="eastAsia" w:hAnsi="仿宋_GB2312" w:eastAsia="仿宋_GB2312" w:cs="仿宋_GB2312"/>
          <w:sz w:val="28"/>
          <w:szCs w:val="28"/>
        </w:rPr>
        <w:t>月</w:t>
      </w:r>
      <w:r>
        <w:rPr>
          <w:rFonts w:hint="eastAsia" w:hAnsi="仿宋_GB2312" w:eastAsia="仿宋_GB2312" w:cs="仿宋_GB2312"/>
          <w:sz w:val="28"/>
          <w:szCs w:val="28"/>
          <w:lang w:val="en-US" w:eastAsia="zh-CN"/>
        </w:rPr>
        <w:t>26</w:t>
      </w:r>
      <w:r>
        <w:rPr>
          <w:rFonts w:hint="eastAsia" w:hAnsi="仿宋_GB2312" w:eastAsia="仿宋_GB2312" w:cs="仿宋_GB2312"/>
          <w:sz w:val="28"/>
          <w:szCs w:val="28"/>
        </w:rPr>
        <w:t>日印</w:t>
      </w:r>
      <w:r>
        <w:rPr>
          <w:rFonts w:hint="eastAsia" w:eastAsia="仿宋_GB2312" w:cs="仿宋_GB2312"/>
          <w:sz w:val="28"/>
          <w:szCs w:val="28"/>
        </w:rPr>
        <w:t>发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2177" w:right="1519" w:bottom="212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2730A2"/>
    <w:rsid w:val="05D04C74"/>
    <w:rsid w:val="0DEF32DD"/>
    <w:rsid w:val="112730A2"/>
    <w:rsid w:val="1E854C78"/>
    <w:rsid w:val="2BD93BDB"/>
    <w:rsid w:val="3E982FE8"/>
    <w:rsid w:val="511C6C3E"/>
    <w:rsid w:val="55A84F47"/>
    <w:rsid w:val="5FFD6B93"/>
    <w:rsid w:val="60673A23"/>
    <w:rsid w:val="6D1A4ACE"/>
    <w:rsid w:val="7E4702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2021-01-05T02:07:00Z</dcterms:created>
  <dc:creator>我可以没心没肺1382518158</dc:creator>
  <cp:lastModifiedBy>我可以没心没肺1382518158</cp:lastModifiedBy>
  <cp:lastPrinted>2021-01-26T07:32:30Z</cp:lastPrinted>
  <dcterms:modified xsi:type="dcterms:W3CDTF">2021-01-26T07:34:35Z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