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t>鄂托克前旗水利局</w:t>
      </w: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2022年</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i w:val="0"/>
          <w:caps w:val="0"/>
          <w:color w:val="333333"/>
          <w:spacing w:val="0"/>
          <w:sz w:val="44"/>
          <w:szCs w:val="44"/>
        </w:rPr>
      </w:pPr>
      <w:r>
        <w:rPr>
          <w:rFonts w:hint="eastAsia" w:ascii="方正小标宋简体" w:hAnsi="方正小标宋简体" w:eastAsia="方正小标宋简体" w:cs="方正小标宋简体"/>
          <w:b w:val="0"/>
          <w:bCs/>
          <w:i w:val="0"/>
          <w:caps w:val="0"/>
          <w:color w:val="333333"/>
          <w:spacing w:val="0"/>
          <w:sz w:val="44"/>
          <w:szCs w:val="44"/>
          <w:shd w:val="clear" w:fill="FFFFFF"/>
        </w:rPr>
        <w:t>政府信息公开年度报告</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eastAsia" w:ascii="宋体" w:hAnsi="宋体" w:eastAsia="宋体" w:cs="宋体"/>
          <w:i w:val="0"/>
          <w:caps w:val="0"/>
          <w:color w:val="333333"/>
          <w:spacing w:val="0"/>
          <w:sz w:val="24"/>
          <w:szCs w:val="24"/>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本报告依据《中华人民共和国政府信息公开条例》、《国务院办公厅政府信息与政务公开办公室关于印发&lt;中华人民共和国政府信息公开工作年度报告格式&gt;的通知》等文件要求编制。报告主要包括总体情况、主动公开政府信息情况、收到和处理政府信息公开申请情况、政府信息公开行政复议、行政诉讼情况、存在的主要问题及改进情况和其他需要报告的事项，本报告中所列数据的统计期限自2022年1月1日起至2022年12月31日止。如对本报告有任何疑问，请与鄂托克前旗水利局办公室联系（地址：鄂托克前旗敖勒召其镇珠和西街鄂托克前旗水利局，邮编：016200，电话：0477-7629240，传真：0477-7629240），电子邮箱：swj7629240@163.com。</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caps w:val="0"/>
          <w:color w:val="000000"/>
          <w:spacing w:val="0"/>
          <w:sz w:val="32"/>
          <w:szCs w:val="32"/>
          <w:shd w:val="clear" w:fill="FFFFFF"/>
          <w:lang w:eastAsia="zh-CN"/>
        </w:rPr>
        <w:t>202</w:t>
      </w:r>
      <w:r>
        <w:rPr>
          <w:rFonts w:hint="eastAsia" w:ascii="仿宋_GB2312" w:hAnsi="仿宋_GB2312" w:eastAsia="仿宋_GB2312" w:cs="仿宋_GB2312"/>
          <w:i w:val="0"/>
          <w:caps w:val="0"/>
          <w:color w:val="000000"/>
          <w:spacing w:val="0"/>
          <w:sz w:val="32"/>
          <w:szCs w:val="32"/>
          <w:shd w:val="clear" w:fill="FFFFFF"/>
          <w:lang w:val="en-US" w:eastAsia="zh-CN"/>
        </w:rPr>
        <w:t>2</w:t>
      </w:r>
      <w:r>
        <w:rPr>
          <w:rFonts w:hint="eastAsia" w:ascii="仿宋_GB2312" w:hAnsi="仿宋_GB2312" w:eastAsia="仿宋_GB2312" w:cs="仿宋_GB2312"/>
          <w:i w:val="0"/>
          <w:caps w:val="0"/>
          <w:color w:val="000000"/>
          <w:spacing w:val="0"/>
          <w:sz w:val="32"/>
          <w:szCs w:val="32"/>
          <w:shd w:val="clear" w:fill="FFFFFF"/>
          <w:lang w:eastAsia="zh-CN"/>
        </w:rPr>
        <w:t>年，我局严格按照《中华人民共和国政府信息公开条例》及相关法律法规要求</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以习近平新时代中国特色社会主义思想为指导，深入贯彻党的十九大和十九届</w:t>
      </w:r>
      <w:r>
        <w:rPr>
          <w:rFonts w:hint="eastAsia" w:ascii="仿宋_GB2312" w:hAnsi="仿宋_GB2312" w:eastAsia="仿宋_GB2312" w:cs="仿宋_GB2312"/>
          <w:color w:val="000000"/>
          <w:sz w:val="32"/>
          <w:szCs w:val="32"/>
          <w:lang w:eastAsia="zh-CN"/>
        </w:rPr>
        <w:t>历次</w:t>
      </w:r>
      <w:r>
        <w:rPr>
          <w:rFonts w:hint="eastAsia" w:ascii="仿宋_GB2312" w:hAnsi="仿宋_GB2312" w:eastAsia="仿宋_GB2312" w:cs="仿宋_GB2312"/>
          <w:color w:val="000000"/>
          <w:sz w:val="32"/>
          <w:szCs w:val="32"/>
        </w:rPr>
        <w:t>全会精神，围绕</w:t>
      </w:r>
      <w:r>
        <w:rPr>
          <w:rFonts w:hint="eastAsia" w:ascii="仿宋_GB2312" w:hAnsi="仿宋_GB2312" w:eastAsia="仿宋_GB2312" w:cs="仿宋_GB2312"/>
          <w:color w:val="000000"/>
          <w:sz w:val="32"/>
          <w:szCs w:val="32"/>
          <w:lang w:eastAsia="zh-CN"/>
        </w:rPr>
        <w:t>水利重点</w:t>
      </w:r>
      <w:r>
        <w:rPr>
          <w:rFonts w:hint="eastAsia" w:ascii="仿宋_GB2312" w:hAnsi="仿宋_GB2312" w:eastAsia="仿宋_GB2312" w:cs="仿宋_GB2312"/>
          <w:color w:val="000000"/>
          <w:sz w:val="32"/>
          <w:szCs w:val="32"/>
        </w:rPr>
        <w:t>工作和社会关切，持续提升政府信息公开质量和水平</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扎实</w:t>
      </w:r>
      <w:r>
        <w:rPr>
          <w:rFonts w:hint="eastAsia" w:ascii="仿宋_GB2312" w:hAnsi="仿宋_GB2312" w:eastAsia="仿宋_GB2312" w:cs="仿宋_GB2312"/>
          <w:color w:val="000000"/>
          <w:sz w:val="32"/>
          <w:szCs w:val="32"/>
          <w:lang w:eastAsia="zh-CN"/>
        </w:rPr>
        <w:t>开展</w:t>
      </w:r>
      <w:r>
        <w:rPr>
          <w:rFonts w:hint="eastAsia" w:ascii="仿宋_GB2312" w:hAnsi="仿宋_GB2312" w:eastAsia="仿宋_GB2312" w:cs="仿宋_GB2312"/>
          <w:color w:val="000000"/>
          <w:sz w:val="32"/>
          <w:szCs w:val="32"/>
        </w:rPr>
        <w:t>政府信息公开工作。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i w:val="0"/>
          <w:caps w:val="0"/>
          <w:color w:val="000000"/>
          <w:spacing w:val="0"/>
          <w:sz w:val="32"/>
          <w:szCs w:val="32"/>
          <w:shd w:val="clear" w:fill="FFFFFF"/>
          <w:lang w:eastAsia="zh-CN"/>
        </w:rPr>
        <w:t>（一）主动公开情况。</w:t>
      </w:r>
      <w:r>
        <w:rPr>
          <w:rFonts w:hint="eastAsia" w:ascii="仿宋_GB2312" w:hAnsi="仿宋_GB2312" w:eastAsia="仿宋_GB2312" w:cs="仿宋_GB2312"/>
          <w:i w:val="0"/>
          <w:caps w:val="0"/>
          <w:color w:val="000000"/>
          <w:spacing w:val="0"/>
          <w:sz w:val="32"/>
          <w:szCs w:val="32"/>
          <w:shd w:val="clear" w:fill="FFFFFF"/>
          <w:lang w:eastAsia="zh-CN"/>
        </w:rPr>
        <w:t>全年主动公开</w:t>
      </w:r>
      <w:r>
        <w:rPr>
          <w:rFonts w:hint="eastAsia" w:ascii="仿宋_GB2312" w:hAnsi="仿宋_GB2312" w:eastAsia="仿宋_GB2312" w:cs="仿宋_GB2312"/>
          <w:i w:val="0"/>
          <w:caps w:val="0"/>
          <w:color w:val="000000"/>
          <w:spacing w:val="0"/>
          <w:sz w:val="32"/>
          <w:szCs w:val="32"/>
          <w:shd w:val="clear" w:fill="FFFFFF"/>
          <w:lang w:val="en-US" w:eastAsia="zh-CN"/>
        </w:rPr>
        <w:t>部门年度决算和部门预算各1条、政府信息公开年度公开报告1条；累计形成日常工作及重点领域相关工作信息91条，通过鄂托克前旗人民政府门户网站、微信、微博等平台公开相关文件、信息168条；</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共建立77项随机抽查事项，登记执法检查人员13人，将10家企业列入市场主体名录库，12个生产建设项目列入监督检查对象。</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shd w:val="clear" w:fill="FFFFFF"/>
          <w:lang w:eastAsia="zh-CN"/>
        </w:rPr>
      </w:pPr>
      <w:r>
        <w:rPr>
          <w:rFonts w:hint="eastAsia" w:ascii="楷体_GB2312" w:hAnsi="楷体_GB2312" w:eastAsia="楷体_GB2312" w:cs="楷体_GB2312"/>
          <w:i w:val="0"/>
          <w:caps w:val="0"/>
          <w:color w:val="000000"/>
          <w:spacing w:val="0"/>
          <w:sz w:val="32"/>
          <w:szCs w:val="32"/>
          <w:shd w:val="clear" w:fill="FFFFFF"/>
          <w:lang w:val="en-US" w:eastAsia="zh-CN"/>
        </w:rPr>
        <w:t>（二）依申请公开情况。</w:t>
      </w:r>
      <w:r>
        <w:rPr>
          <w:rFonts w:hint="eastAsia" w:ascii="仿宋_GB2312" w:hAnsi="仿宋_GB2312" w:eastAsia="仿宋_GB2312" w:cs="仿宋_GB2312"/>
          <w:i w:val="0"/>
          <w:caps w:val="0"/>
          <w:color w:val="000000"/>
          <w:spacing w:val="0"/>
          <w:sz w:val="32"/>
          <w:szCs w:val="32"/>
          <w:shd w:val="clear" w:fill="FFFFFF"/>
          <w:lang w:val="en-US" w:eastAsia="zh-CN"/>
        </w:rPr>
        <w:t>2022年，我局受理依申请公开政府信息情况0件。</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shd w:val="clear" w:fill="FFFFFF"/>
          <w:lang w:eastAsia="zh-CN"/>
        </w:rPr>
      </w:pPr>
      <w:r>
        <w:rPr>
          <w:rFonts w:hint="eastAsia" w:ascii="楷体_GB2312" w:hAnsi="楷体_GB2312" w:eastAsia="楷体_GB2312" w:cs="楷体_GB2312"/>
          <w:i w:val="0"/>
          <w:caps w:val="0"/>
          <w:color w:val="000000"/>
          <w:spacing w:val="0"/>
          <w:sz w:val="32"/>
          <w:szCs w:val="32"/>
          <w:shd w:val="clear" w:fill="FFFFFF"/>
          <w:lang w:val="en-US" w:eastAsia="zh-CN"/>
        </w:rPr>
        <w:t>（三）政府信息管理情况。</w:t>
      </w:r>
      <w:r>
        <w:rPr>
          <w:rFonts w:hint="eastAsia" w:ascii="仿宋_GB2312" w:hAnsi="仿宋_GB2312" w:eastAsia="仿宋_GB2312" w:cs="仿宋_GB2312"/>
          <w:i w:val="0"/>
          <w:caps w:val="0"/>
          <w:color w:val="000000"/>
          <w:spacing w:val="0"/>
          <w:sz w:val="32"/>
          <w:szCs w:val="32"/>
          <w:shd w:val="clear" w:fill="FFFFFF"/>
          <w:lang w:val="en-US" w:eastAsia="zh-CN"/>
        </w:rPr>
        <w:t>主动落实公开新要求，将政务公开工作纳入局领导班子分工，确定专人负责政务工作日常工作，及时调整更新主动公开目录。强化上网信息发布审核，严格落实“三级”审核制度，杜绝错误敏感信息上网，确保信息公开工作及时、有效、有序。</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楷体_GB2312" w:hAnsi="楷体_GB2312" w:eastAsia="楷体_GB2312" w:cs="楷体_GB2312"/>
          <w:i w:val="0"/>
          <w:caps w:val="0"/>
          <w:color w:val="000000"/>
          <w:spacing w:val="0"/>
          <w:sz w:val="32"/>
          <w:szCs w:val="32"/>
          <w:shd w:val="clear" w:fill="FFFFFF"/>
          <w:lang w:val="en-US" w:eastAsia="zh-CN"/>
        </w:rPr>
        <w:t>（四）平台建设情况。</w:t>
      </w:r>
      <w:r>
        <w:rPr>
          <w:rFonts w:hint="eastAsia" w:ascii="仿宋_GB2312" w:hAnsi="仿宋_GB2312" w:eastAsia="仿宋_GB2312" w:cs="仿宋_GB2312"/>
          <w:b/>
          <w:bCs/>
          <w:i w:val="0"/>
          <w:caps w:val="0"/>
          <w:color w:val="000000"/>
          <w:spacing w:val="0"/>
          <w:sz w:val="32"/>
          <w:szCs w:val="32"/>
          <w:shd w:val="clear" w:fill="FFFFFF"/>
          <w:lang w:val="en-US" w:eastAsia="zh-CN"/>
        </w:rPr>
        <w:t>一是</w:t>
      </w:r>
      <w:r>
        <w:rPr>
          <w:rFonts w:hint="eastAsia" w:ascii="仿宋_GB2312" w:hAnsi="仿宋_GB2312" w:eastAsia="仿宋_GB2312" w:cs="仿宋_GB2312"/>
          <w:i w:val="0"/>
          <w:caps w:val="0"/>
          <w:color w:val="000000"/>
          <w:spacing w:val="0"/>
          <w:sz w:val="32"/>
          <w:szCs w:val="32"/>
          <w:shd w:val="clear" w:fill="FFFFFF"/>
          <w:lang w:val="en-US" w:eastAsia="zh-CN"/>
        </w:rPr>
        <w:t>扎实开展政务门户网站维护工作，确保公开信息规范、及时、准确、完整。</w:t>
      </w:r>
      <w:r>
        <w:rPr>
          <w:rFonts w:hint="eastAsia" w:ascii="仿宋_GB2312" w:hAnsi="仿宋_GB2312" w:eastAsia="仿宋_GB2312" w:cs="仿宋_GB2312"/>
          <w:b/>
          <w:bCs/>
          <w:i w:val="0"/>
          <w:caps w:val="0"/>
          <w:color w:val="000000"/>
          <w:spacing w:val="0"/>
          <w:sz w:val="32"/>
          <w:szCs w:val="32"/>
          <w:shd w:val="clear" w:fill="FFFFFF"/>
          <w:lang w:val="en-US" w:eastAsia="zh-CN"/>
        </w:rPr>
        <w:t>二是</w:t>
      </w:r>
      <w:r>
        <w:rPr>
          <w:rFonts w:hint="eastAsia" w:ascii="仿宋_GB2312" w:hAnsi="仿宋_GB2312" w:eastAsia="仿宋_GB2312" w:cs="仿宋_GB2312"/>
          <w:i w:val="0"/>
          <w:caps w:val="0"/>
          <w:color w:val="000000"/>
          <w:spacing w:val="0"/>
          <w:sz w:val="32"/>
          <w:szCs w:val="32"/>
          <w:shd w:val="clear" w:fill="FFFFFF"/>
          <w:lang w:val="en-US" w:eastAsia="zh-CN"/>
        </w:rPr>
        <w:t>持续加强政务新媒体建设，确定专人负责局微信公众号、微博日常建设与维护工作，及时更新动态，不定时开展政务新媒体日常自查督查，对发现问题及时整改，确保政务新媒体高效运行。</w:t>
      </w:r>
      <w:r>
        <w:rPr>
          <w:rFonts w:hint="eastAsia" w:ascii="仿宋_GB2312" w:hAnsi="仿宋_GB2312" w:eastAsia="仿宋_GB2312" w:cs="仿宋_GB2312"/>
          <w:b/>
          <w:bCs/>
          <w:i w:val="0"/>
          <w:caps w:val="0"/>
          <w:color w:val="000000"/>
          <w:spacing w:val="0"/>
          <w:sz w:val="32"/>
          <w:szCs w:val="32"/>
          <w:shd w:val="clear" w:fill="FFFFFF"/>
          <w:lang w:val="en-US" w:eastAsia="zh-CN"/>
        </w:rPr>
        <w:t>三是</w:t>
      </w:r>
      <w:r>
        <w:rPr>
          <w:rFonts w:hint="eastAsia" w:ascii="仿宋_GB2312" w:hAnsi="仿宋_GB2312" w:eastAsia="仿宋_GB2312" w:cs="仿宋_GB2312"/>
          <w:i w:val="0"/>
          <w:caps w:val="0"/>
          <w:color w:val="000000"/>
          <w:spacing w:val="0"/>
          <w:sz w:val="32"/>
          <w:szCs w:val="32"/>
          <w:shd w:val="clear" w:fill="FFFFFF"/>
          <w:lang w:val="en-US" w:eastAsia="zh-CN"/>
        </w:rPr>
        <w:t>继续完善政府信息公开查阅场所建设。将局办公室设立为</w:t>
      </w:r>
      <w:bookmarkStart w:id="0" w:name="_GoBack"/>
      <w:bookmarkEnd w:id="0"/>
      <w:r>
        <w:rPr>
          <w:rFonts w:hint="eastAsia" w:ascii="仿宋_GB2312" w:hAnsi="仿宋_GB2312" w:eastAsia="仿宋_GB2312" w:cs="仿宋_GB2312"/>
          <w:i w:val="0"/>
          <w:caps w:val="0"/>
          <w:color w:val="000000"/>
          <w:spacing w:val="0"/>
          <w:sz w:val="32"/>
          <w:szCs w:val="32"/>
          <w:shd w:val="clear" w:fill="FFFFFF"/>
          <w:lang w:val="en-US" w:eastAsia="zh-CN"/>
        </w:rPr>
        <w:t>政府信息公开查阅点，方便群众查阅相关信息。</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000000"/>
          <w:spacing w:val="0"/>
          <w:sz w:val="32"/>
          <w:szCs w:val="32"/>
          <w:shd w:val="clear" w:fill="FFFFFF"/>
          <w:lang w:eastAsia="zh-CN"/>
        </w:rPr>
      </w:pPr>
      <w:r>
        <w:rPr>
          <w:rFonts w:hint="eastAsia" w:ascii="楷体_GB2312" w:hAnsi="楷体_GB2312" w:eastAsia="楷体_GB2312" w:cs="楷体_GB2312"/>
          <w:i w:val="0"/>
          <w:caps w:val="0"/>
          <w:color w:val="000000"/>
          <w:spacing w:val="0"/>
          <w:sz w:val="32"/>
          <w:szCs w:val="32"/>
          <w:shd w:val="clear" w:fill="FFFFFF"/>
          <w:lang w:val="en-US" w:eastAsia="zh-CN"/>
        </w:rPr>
        <w:t>（五）监督保障情况。</w:t>
      </w:r>
      <w:r>
        <w:rPr>
          <w:rFonts w:hint="eastAsia" w:ascii="仿宋_GB2312" w:hAnsi="仿宋_GB2312" w:eastAsia="仿宋_GB2312" w:cs="仿宋_GB2312"/>
          <w:i w:val="0"/>
          <w:caps w:val="0"/>
          <w:color w:val="000000"/>
          <w:spacing w:val="0"/>
          <w:sz w:val="32"/>
          <w:szCs w:val="32"/>
          <w:shd w:val="clear" w:fill="FFFFFF"/>
          <w:lang w:val="en-US" w:eastAsia="zh-CN"/>
        </w:rPr>
        <w:t>按照旗五位一体考核工作要求，通过数字化考评系统按时上传政务公开工作相关佐证材料，并将信息工作纳入我局绩效考核指标中。2022年，我局未发生因信息发布失信和影响社会稳定问题而发生的责任追究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b/>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3"/>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603"/>
        <w:gridCol w:w="2212"/>
        <w:gridCol w:w="2227"/>
        <w:gridCol w:w="21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9" w:hRule="atLeast"/>
          <w:jc w:val="center"/>
        </w:trPr>
        <w:tc>
          <w:tcPr>
            <w:tcW w:w="9220"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4"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信息内容</w:t>
            </w:r>
          </w:p>
        </w:tc>
        <w:tc>
          <w:tcPr>
            <w:tcW w:w="2212"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本年</w:t>
            </w:r>
            <w:r>
              <w:rPr>
                <w:rFonts w:hint="eastAsia" w:ascii="仿宋_GB2312" w:hAnsi="仿宋_GB2312" w:eastAsia="仿宋_GB2312" w:cs="仿宋_GB2312"/>
                <w:color w:val="000000"/>
                <w:kern w:val="0"/>
                <w:sz w:val="32"/>
                <w:szCs w:val="32"/>
                <w:lang w:eastAsia="zh-CN"/>
              </w:rPr>
              <w:t>制发件数</w:t>
            </w:r>
          </w:p>
        </w:tc>
        <w:tc>
          <w:tcPr>
            <w:tcW w:w="2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本年</w:t>
            </w:r>
            <w:r>
              <w:rPr>
                <w:rFonts w:hint="eastAsia" w:ascii="仿宋_GB2312" w:hAnsi="仿宋_GB2312" w:eastAsia="仿宋_GB2312" w:cs="仿宋_GB2312"/>
                <w:color w:val="000000"/>
                <w:kern w:val="0"/>
                <w:sz w:val="32"/>
                <w:szCs w:val="32"/>
                <w:lang w:eastAsia="zh-CN"/>
              </w:rPr>
              <w:t>废止件数</w:t>
            </w:r>
          </w:p>
        </w:tc>
        <w:tc>
          <w:tcPr>
            <w:tcW w:w="2178"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eastAsia="zh-CN"/>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4"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规章</w:t>
            </w:r>
          </w:p>
        </w:tc>
        <w:tc>
          <w:tcPr>
            <w:tcW w:w="221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rPr>
              <w:t>0</w:t>
            </w:r>
          </w:p>
        </w:tc>
        <w:tc>
          <w:tcPr>
            <w:tcW w:w="222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rPr>
              <w:t>0</w:t>
            </w:r>
          </w:p>
        </w:tc>
        <w:tc>
          <w:tcPr>
            <w:tcW w:w="2178"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4"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eastAsia="zh-CN"/>
              </w:rPr>
              <w:t>行政</w:t>
            </w:r>
            <w:r>
              <w:rPr>
                <w:rFonts w:hint="eastAsia" w:ascii="仿宋_GB2312" w:hAnsi="仿宋_GB2312" w:eastAsia="仿宋_GB2312" w:cs="仿宋_GB2312"/>
                <w:color w:val="000000"/>
                <w:kern w:val="0"/>
                <w:sz w:val="32"/>
                <w:szCs w:val="32"/>
              </w:rPr>
              <w:t>规范性文件</w:t>
            </w:r>
          </w:p>
        </w:tc>
        <w:tc>
          <w:tcPr>
            <w:tcW w:w="221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rPr>
              <w:t>0</w:t>
            </w:r>
          </w:p>
        </w:tc>
        <w:tc>
          <w:tcPr>
            <w:tcW w:w="222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rPr>
              <w:t>0</w:t>
            </w:r>
          </w:p>
        </w:tc>
        <w:tc>
          <w:tcPr>
            <w:tcW w:w="2178"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4" w:hRule="atLeast"/>
          <w:jc w:val="center"/>
        </w:trPr>
        <w:tc>
          <w:tcPr>
            <w:tcW w:w="922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1"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信息内容</w:t>
            </w:r>
          </w:p>
        </w:tc>
        <w:tc>
          <w:tcPr>
            <w:tcW w:w="6617" w:type="dxa"/>
            <w:gridSpan w:val="3"/>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eastAsia="zh-CN"/>
              </w:rPr>
              <w:t>本年</w:t>
            </w:r>
            <w:r>
              <w:rPr>
                <w:rFonts w:hint="eastAsia" w:ascii="仿宋_GB2312" w:hAnsi="仿宋_GB2312" w:eastAsia="仿宋_GB2312" w:cs="仿宋_GB2312"/>
                <w:color w:val="000000"/>
                <w:kern w:val="0"/>
                <w:sz w:val="32"/>
                <w:szCs w:val="32"/>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行政许可</w:t>
            </w:r>
          </w:p>
        </w:tc>
        <w:tc>
          <w:tcPr>
            <w:tcW w:w="6617" w:type="dxa"/>
            <w:gridSpan w:val="3"/>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default"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922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2603" w:type="dxa"/>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信息内容</w:t>
            </w:r>
          </w:p>
        </w:tc>
        <w:tc>
          <w:tcPr>
            <w:tcW w:w="6617" w:type="dxa"/>
            <w:gridSpan w:val="3"/>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eastAsia="zh-CN"/>
              </w:rPr>
              <w:t>本年</w:t>
            </w:r>
            <w:r>
              <w:rPr>
                <w:rFonts w:hint="eastAsia" w:ascii="仿宋_GB2312" w:hAnsi="仿宋_GB2312" w:eastAsia="仿宋_GB2312" w:cs="仿宋_GB2312"/>
                <w:color w:val="000000"/>
                <w:kern w:val="0"/>
                <w:sz w:val="32"/>
                <w:szCs w:val="32"/>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行政处罚</w:t>
            </w:r>
          </w:p>
        </w:tc>
        <w:tc>
          <w:tcPr>
            <w:tcW w:w="6617" w:type="dxa"/>
            <w:gridSpan w:val="3"/>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行政强制</w:t>
            </w:r>
          </w:p>
        </w:tc>
        <w:tc>
          <w:tcPr>
            <w:tcW w:w="6617" w:type="dxa"/>
            <w:gridSpan w:val="3"/>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kern w:val="0"/>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922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2603" w:type="dxa"/>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信息内容</w:t>
            </w:r>
          </w:p>
        </w:tc>
        <w:tc>
          <w:tcPr>
            <w:tcW w:w="6617" w:type="dxa"/>
            <w:gridSpan w:val="3"/>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eastAsia="zh-CN"/>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1"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行政事业性收费</w:t>
            </w:r>
          </w:p>
        </w:tc>
        <w:tc>
          <w:tcPr>
            <w:tcW w:w="6617" w:type="dxa"/>
            <w:gridSpan w:val="3"/>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default" w:ascii="仿宋_GB2312" w:hAnsi="仿宋_GB2312" w:eastAsia="仿宋_GB2312" w:cs="仿宋_GB2312"/>
                <w:sz w:val="32"/>
                <w:szCs w:val="32"/>
                <w:lang w:val="en-US"/>
              </w:rPr>
            </w:pPr>
            <w:r>
              <w:rPr>
                <w:rFonts w:hint="eastAsia" w:ascii="仿宋_GB2312" w:hAnsi="仿宋_GB2312" w:eastAsia="仿宋_GB2312" w:cs="仿宋_GB2312"/>
                <w:color w:val="auto"/>
                <w:kern w:val="0"/>
                <w:sz w:val="32"/>
                <w:szCs w:val="32"/>
                <w:lang w:val="en-US" w:eastAsia="zh-CN"/>
              </w:rPr>
              <w:t>1560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4" w:hRule="atLeast"/>
          <w:jc w:val="center"/>
        </w:trPr>
        <w:tc>
          <w:tcPr>
            <w:tcW w:w="922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9" w:hRule="atLeast"/>
          <w:jc w:val="center"/>
        </w:trPr>
        <w:tc>
          <w:tcPr>
            <w:tcW w:w="2603" w:type="dxa"/>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信息内容</w:t>
            </w:r>
          </w:p>
        </w:tc>
        <w:tc>
          <w:tcPr>
            <w:tcW w:w="2212" w:type="dxa"/>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本年</w:t>
            </w:r>
            <w:r>
              <w:rPr>
                <w:rFonts w:hint="eastAsia" w:ascii="仿宋_GB2312" w:hAnsi="仿宋_GB2312" w:eastAsia="仿宋_GB2312" w:cs="仿宋_GB2312"/>
                <w:color w:val="000000"/>
                <w:kern w:val="0"/>
                <w:sz w:val="32"/>
                <w:szCs w:val="32"/>
                <w:lang w:eastAsia="zh-CN"/>
              </w:rPr>
              <w:t>制发件数</w:t>
            </w:r>
          </w:p>
        </w:tc>
        <w:tc>
          <w:tcPr>
            <w:tcW w:w="2227" w:type="dxa"/>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本年</w:t>
            </w:r>
            <w:r>
              <w:rPr>
                <w:rFonts w:hint="eastAsia" w:ascii="仿宋_GB2312" w:hAnsi="仿宋_GB2312" w:eastAsia="仿宋_GB2312" w:cs="仿宋_GB2312"/>
                <w:color w:val="000000"/>
                <w:kern w:val="0"/>
                <w:sz w:val="32"/>
                <w:szCs w:val="32"/>
                <w:lang w:eastAsia="zh-CN"/>
              </w:rPr>
              <w:t>废止件数</w:t>
            </w:r>
          </w:p>
        </w:tc>
        <w:tc>
          <w:tcPr>
            <w:tcW w:w="2178" w:type="dxa"/>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eastAsia="zh-CN"/>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4"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规章</w:t>
            </w:r>
          </w:p>
        </w:tc>
        <w:tc>
          <w:tcPr>
            <w:tcW w:w="221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0</w:t>
            </w:r>
          </w:p>
        </w:tc>
        <w:tc>
          <w:tcPr>
            <w:tcW w:w="2227" w:type="dxa"/>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0</w:t>
            </w:r>
          </w:p>
        </w:tc>
        <w:tc>
          <w:tcPr>
            <w:tcW w:w="2178" w:type="dxa"/>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3" w:hRule="atLeast"/>
          <w:jc w:val="center"/>
        </w:trPr>
        <w:tc>
          <w:tcPr>
            <w:tcW w:w="260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规范性文件</w:t>
            </w:r>
          </w:p>
        </w:tc>
        <w:tc>
          <w:tcPr>
            <w:tcW w:w="2212"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kern w:val="0"/>
                <w:sz w:val="32"/>
                <w:szCs w:val="32"/>
                <w:lang w:val="en-US" w:eastAsia="zh-CN"/>
              </w:rPr>
              <w:t>0</w:t>
            </w:r>
          </w:p>
        </w:tc>
        <w:tc>
          <w:tcPr>
            <w:tcW w:w="2227" w:type="dxa"/>
            <w:tcBorders>
              <w:top w:val="nil"/>
              <w:left w:val="nil"/>
              <w:bottom w:val="single" w:color="auto" w:sz="8" w:space="0"/>
              <w:right w:val="single" w:color="000000"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kern w:val="0"/>
                <w:sz w:val="32"/>
                <w:szCs w:val="32"/>
                <w:lang w:val="en-US" w:eastAsia="zh-CN"/>
              </w:rPr>
              <w:t>0</w:t>
            </w:r>
          </w:p>
        </w:tc>
        <w:tc>
          <w:tcPr>
            <w:tcW w:w="2178" w:type="dxa"/>
            <w:tcBorders>
              <w:top w:val="nil"/>
              <w:left w:val="nil"/>
              <w:bottom w:val="single" w:color="auto" w:sz="8" w:space="0"/>
              <w:right w:val="single" w:color="000000" w:sz="8" w:space="0"/>
            </w:tcBorders>
            <w:shd w:val="clear" w:color="auto" w:fill="auto"/>
            <w:noWrap/>
            <w:tcMar>
              <w:left w:w="108" w:type="dxa"/>
              <w:right w:w="108" w:type="dxa"/>
            </w:tcMar>
            <w:vAlign w:val="center"/>
          </w:tcPr>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0</w:t>
            </w:r>
          </w:p>
        </w:tc>
      </w:tr>
    </w:tbl>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三、收到和处理政府信息公开申请情况</w:t>
      </w:r>
    </w:p>
    <w:tbl>
      <w:tblPr>
        <w:tblStyle w:val="3"/>
        <w:tblW w:w="923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91"/>
        <w:gridCol w:w="1050"/>
        <w:gridCol w:w="3855"/>
        <w:gridCol w:w="390"/>
        <w:gridCol w:w="555"/>
        <w:gridCol w:w="480"/>
        <w:gridCol w:w="480"/>
        <w:gridCol w:w="460"/>
        <w:gridCol w:w="485"/>
        <w:gridCol w:w="3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599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（本列数据的勾稽关系为：第一项加第二项之和，等于第三项加第四项之和）</w:t>
            </w:r>
          </w:p>
        </w:tc>
        <w:tc>
          <w:tcPr>
            <w:tcW w:w="3242"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0" w:hRule="atLeast"/>
          <w:jc w:val="center"/>
        </w:trPr>
        <w:tc>
          <w:tcPr>
            <w:tcW w:w="599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9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自然人</w:t>
            </w:r>
          </w:p>
        </w:tc>
        <w:tc>
          <w:tcPr>
            <w:tcW w:w="246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法人或其他组织</w:t>
            </w:r>
          </w:p>
        </w:tc>
        <w:tc>
          <w:tcPr>
            <w:tcW w:w="39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60" w:hRule="atLeast"/>
          <w:jc w:val="center"/>
        </w:trPr>
        <w:tc>
          <w:tcPr>
            <w:tcW w:w="599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9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商业企业</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科研机构</w:t>
            </w:r>
          </w:p>
        </w:tc>
        <w:tc>
          <w:tcPr>
            <w:tcW w:w="48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社会公益组织</w:t>
            </w:r>
          </w:p>
        </w:tc>
        <w:tc>
          <w:tcPr>
            <w:tcW w:w="46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法律服务机构</w:t>
            </w:r>
          </w:p>
        </w:tc>
        <w:tc>
          <w:tcPr>
            <w:tcW w:w="48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其他</w:t>
            </w:r>
          </w:p>
        </w:tc>
        <w:tc>
          <w:tcPr>
            <w:tcW w:w="39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30" w:hRule="atLeast"/>
          <w:jc w:val="center"/>
        </w:trPr>
        <w:tc>
          <w:tcPr>
            <w:tcW w:w="599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一、本年新收政府信息公开申请数量</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5" w:hRule="atLeast"/>
          <w:jc w:val="center"/>
        </w:trPr>
        <w:tc>
          <w:tcPr>
            <w:tcW w:w="599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二、上年结转政府信息公开申请数量</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5" w:hRule="atLeast"/>
          <w:jc w:val="center"/>
        </w:trPr>
        <w:tc>
          <w:tcPr>
            <w:tcW w:w="1091"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三、本年度办理结果</w:t>
            </w:r>
          </w:p>
        </w:tc>
        <w:tc>
          <w:tcPr>
            <w:tcW w:w="49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（一）予以公开</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0"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49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（二）部分公开（区分处理的，只计这一情形，不计其他情形）</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6"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（三）不予公开</w:t>
            </w: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1.属于国家秘密</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55"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2.其他法律行政法规禁止公开</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5"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3.危及“三安全一稳定”</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5"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4.保护第三方合法权益</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10"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5.属于三类内部事务信息</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5"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6.属于四类过程性信息</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0"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7.属于行政执法案卷</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5"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8.属于行政查询事项</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7"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（四）无法提供</w:t>
            </w: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1.本机关不掌握相关政府信息</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2"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2.没有现成信息需要另行制作</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2"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3.补正后申请内容仍不明确</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1"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（五）不予处理</w:t>
            </w: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1.信访举报投诉类申请</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2"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2.重复申请</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1"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3.要求提供公开出版物</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00"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4.无正当理由大量反复申请</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30"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5.要求行政机关确认或重新出具已获取信息</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75"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（六）其他处理</w:t>
            </w: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1.申请人无正当理由预期不补正、行政机关不再处理其政府信息公开申请</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7"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2.申请人预期未按收费通知要求缴纳费用、行政机关不再处理其政府信息公开申请</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0" w:hRule="atLeast"/>
          <w:jc w:val="center"/>
        </w:trPr>
        <w:tc>
          <w:tcPr>
            <w:tcW w:w="1091"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1050"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385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3.其他</w:t>
            </w:r>
          </w:p>
        </w:tc>
        <w:tc>
          <w:tcPr>
            <w:tcW w:w="3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5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8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46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48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39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bl>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四、政府信息公开行政复议、行政诉讼情况</w:t>
      </w:r>
    </w:p>
    <w:tbl>
      <w:tblPr>
        <w:tblStyle w:val="3"/>
        <w:tblW w:w="933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22"/>
        <w:gridCol w:w="622"/>
        <w:gridCol w:w="622"/>
        <w:gridCol w:w="622"/>
        <w:gridCol w:w="622"/>
        <w:gridCol w:w="622"/>
        <w:gridCol w:w="622"/>
        <w:gridCol w:w="622"/>
        <w:gridCol w:w="622"/>
        <w:gridCol w:w="622"/>
        <w:gridCol w:w="622"/>
        <w:gridCol w:w="622"/>
        <w:gridCol w:w="622"/>
        <w:gridCol w:w="622"/>
        <w:gridCol w:w="62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55" w:hRule="atLeast"/>
          <w:jc w:val="center"/>
        </w:trPr>
        <w:tc>
          <w:tcPr>
            <w:tcW w:w="31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行政复议</w:t>
            </w:r>
          </w:p>
        </w:tc>
        <w:tc>
          <w:tcPr>
            <w:tcW w:w="6222"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5" w:hRule="atLeast"/>
          <w:jc w:val="center"/>
        </w:trPr>
        <w:tc>
          <w:tcPr>
            <w:tcW w:w="62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结果维持</w:t>
            </w:r>
          </w:p>
        </w:tc>
        <w:tc>
          <w:tcPr>
            <w:tcW w:w="62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结果纠正</w:t>
            </w:r>
          </w:p>
        </w:tc>
        <w:tc>
          <w:tcPr>
            <w:tcW w:w="62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其他结果</w:t>
            </w:r>
          </w:p>
        </w:tc>
        <w:tc>
          <w:tcPr>
            <w:tcW w:w="62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尚未审结</w:t>
            </w:r>
          </w:p>
        </w:tc>
        <w:tc>
          <w:tcPr>
            <w:tcW w:w="62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总计</w:t>
            </w:r>
          </w:p>
        </w:tc>
        <w:tc>
          <w:tcPr>
            <w:tcW w:w="311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未经复议直接起诉</w:t>
            </w:r>
          </w:p>
        </w:tc>
        <w:tc>
          <w:tcPr>
            <w:tcW w:w="3112"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90" w:hRule="atLeast"/>
          <w:jc w:val="center"/>
        </w:trPr>
        <w:tc>
          <w:tcPr>
            <w:tcW w:w="62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62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62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62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62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结果维持</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结果纠正</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其他结果</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尚未审结</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总计</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结果维持</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结果纠正</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其他结果</w:t>
            </w:r>
          </w:p>
        </w:tc>
        <w:tc>
          <w:tcPr>
            <w:tcW w:w="6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尚未审结</w:t>
            </w:r>
          </w:p>
        </w:tc>
        <w:tc>
          <w:tcPr>
            <w:tcW w:w="62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2" w:hRule="atLeast"/>
          <w:jc w:val="center"/>
        </w:trPr>
        <w:tc>
          <w:tcPr>
            <w:tcW w:w="62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rPr>
              <w:t>0</w:t>
            </w:r>
          </w:p>
        </w:tc>
        <w:tc>
          <w:tcPr>
            <w:tcW w:w="622"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0</w:t>
            </w:r>
          </w:p>
        </w:tc>
        <w:tc>
          <w:tcPr>
            <w:tcW w:w="62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0</w:t>
            </w:r>
          </w:p>
        </w:tc>
      </w:tr>
    </w:tbl>
    <w:p>
      <w:pPr>
        <w:pStyle w:val="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黑体" w:hAnsi="黑体" w:eastAsia="黑体" w:cs="黑体"/>
          <w:color w:val="000000" w:themeColor="text1"/>
          <w:sz w:val="32"/>
          <w:szCs w:val="32"/>
          <w:shd w:val="clear" w:color="auto" w:fill="auto"/>
          <w:lang w:eastAsia="zh-CN"/>
          <w14:textFill>
            <w14:solidFill>
              <w14:schemeClr w14:val="tx1"/>
            </w14:solidFill>
          </w14:textFill>
        </w:rPr>
      </w:pPr>
      <w:r>
        <w:rPr>
          <w:rFonts w:hint="eastAsia" w:ascii="黑体" w:hAnsi="黑体" w:eastAsia="黑体" w:cs="黑体"/>
          <w:color w:val="000000" w:themeColor="text1"/>
          <w:sz w:val="32"/>
          <w:szCs w:val="32"/>
          <w:shd w:val="clear" w:color="auto" w:fill="auto"/>
          <w:lang w:eastAsia="zh-CN"/>
          <w14:textFill>
            <w14:solidFill>
              <w14:schemeClr w14:val="tx1"/>
            </w14:solidFill>
          </w14:textFill>
        </w:rPr>
        <w:t>五、存在的主要问题及下一步打算</w:t>
      </w:r>
    </w:p>
    <w:p>
      <w:pPr>
        <w:pStyle w:val="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2022年，我局</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instrText xml:space="preserve"> HYPERLINK "https://baike.sogou.com/lemma/ShowInnerLink.htm?lemmaId=7644704&amp;ss_c=ssc.citiao.link" \t "https://baike.sogou.com/_blank" </w:instrTex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政府信息公开</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工作虽然取得了一定成绩，但也存在着一定的不足：</w:t>
      </w: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一是</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干部职工培训教育还不够，个别股室、二级单位对“是否应公开，应公开什么”还未能精准把握，业务能力有待提高。</w:t>
      </w: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对信息公开工作监督不够到位，审核不够严格，部分信息仍存在错敏词句，政务信息公开的信息项目、内容都需要进一步加强和完善。</w:t>
      </w:r>
    </w:p>
    <w:p>
      <w:pPr>
        <w:pStyle w:val="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下一步，我局将继续认真贯彻落实中央、自治区、市、旗的部署要求，进一步加大信息公开工作力度，持续提高政府信息公开工作水平，着力做好以下工作：</w:t>
      </w: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一是</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坚持以公开为常态、以不公开为例外，不断扩大信息发布的覆盖面，提升信息的时效性。</w:t>
      </w: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进一步规范公开信息形式、公开程序，加强政府信息公开平台的维护管理，及时更新、准确发布权威信息，正确回应社会舆论，提高政务信息公开的社会影响力。</w:t>
      </w: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三是</w:t>
      </w: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加强队伍建设，结合工作实际，开展政务公开工作学习培训，进一步提高干部职工理论水平和工作能力，不断提升政府信息公开整体工作水平。</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eastAsia" w:ascii="黑体" w:hAnsi="黑体" w:eastAsia="黑体" w:cs="黑体"/>
          <w:b w:val="0"/>
          <w:bCs/>
          <w:i w:val="0"/>
          <w:caps w:val="0"/>
          <w:color w:val="333333"/>
          <w:spacing w:val="0"/>
          <w:sz w:val="32"/>
          <w:szCs w:val="32"/>
          <w:lang w:eastAsia="zh-CN"/>
        </w:rPr>
      </w:pPr>
      <w:r>
        <w:rPr>
          <w:rFonts w:hint="eastAsia" w:ascii="黑体" w:hAnsi="黑体" w:eastAsia="黑体" w:cs="黑体"/>
          <w:b w:val="0"/>
          <w:bCs/>
          <w:i w:val="0"/>
          <w:caps w:val="0"/>
          <w:color w:val="333333"/>
          <w:spacing w:val="0"/>
          <w:sz w:val="32"/>
          <w:szCs w:val="32"/>
          <w:shd w:val="clear" w:fill="FFFFFF"/>
          <w:lang w:eastAsia="zh-CN"/>
        </w:rPr>
        <w:t>六</w:t>
      </w:r>
      <w:r>
        <w:rPr>
          <w:rFonts w:hint="eastAsia" w:ascii="黑体" w:hAnsi="黑体" w:eastAsia="黑体" w:cs="黑体"/>
          <w:b w:val="0"/>
          <w:bCs/>
          <w:i w:val="0"/>
          <w:caps w:val="0"/>
          <w:color w:val="333333"/>
          <w:spacing w:val="0"/>
          <w:sz w:val="32"/>
          <w:szCs w:val="32"/>
          <w:shd w:val="clear" w:fill="FFFFFF"/>
        </w:rPr>
        <w:t>、</w:t>
      </w:r>
      <w:r>
        <w:rPr>
          <w:rFonts w:hint="eastAsia" w:ascii="黑体" w:hAnsi="黑体" w:eastAsia="黑体" w:cs="黑体"/>
          <w:b w:val="0"/>
          <w:bCs/>
          <w:i w:val="0"/>
          <w:caps w:val="0"/>
          <w:color w:val="333333"/>
          <w:spacing w:val="0"/>
          <w:sz w:val="32"/>
          <w:szCs w:val="32"/>
          <w:shd w:val="clear" w:fill="FFFFFF"/>
          <w:lang w:eastAsia="zh-CN"/>
        </w:rPr>
        <w:t>其他需要报告的事项</w:t>
      </w:r>
    </w:p>
    <w:p>
      <w:pPr>
        <w:pStyle w:val="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2022年我局未发生收取政府信息公开处理费的情况。</w:t>
      </w:r>
    </w:p>
    <w:p>
      <w:pPr>
        <w:pStyle w:val="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ZmM2ZDYzZTUzNTkzN2E3NmIyYjU2YzllYjMwZTYifQ=="/>
  </w:docVars>
  <w:rsids>
    <w:rsidRoot w:val="189D128B"/>
    <w:rsid w:val="036071DD"/>
    <w:rsid w:val="041D095D"/>
    <w:rsid w:val="183B3EB8"/>
    <w:rsid w:val="189D128B"/>
    <w:rsid w:val="190D6BD4"/>
    <w:rsid w:val="1CE61526"/>
    <w:rsid w:val="20611F05"/>
    <w:rsid w:val="25C77BC0"/>
    <w:rsid w:val="287F46FC"/>
    <w:rsid w:val="373969BE"/>
    <w:rsid w:val="44432ED8"/>
    <w:rsid w:val="46B50402"/>
    <w:rsid w:val="4CA20008"/>
    <w:rsid w:val="4E161F29"/>
    <w:rsid w:val="4F2B30F8"/>
    <w:rsid w:val="51106773"/>
    <w:rsid w:val="52000747"/>
    <w:rsid w:val="5B413F55"/>
    <w:rsid w:val="61522626"/>
    <w:rsid w:val="6341193F"/>
    <w:rsid w:val="6A7D19DD"/>
    <w:rsid w:val="6B0F64CC"/>
    <w:rsid w:val="6B3E3523"/>
    <w:rsid w:val="6C552FB2"/>
    <w:rsid w:val="6D81641F"/>
    <w:rsid w:val="6F3D0BEE"/>
    <w:rsid w:val="7008187A"/>
    <w:rsid w:val="75CA5371"/>
    <w:rsid w:val="7BED3E8F"/>
    <w:rsid w:val="7FC95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Emphasis"/>
    <w:basedOn w:val="4"/>
    <w:qFormat/>
    <w:uiPriority w:val="0"/>
  </w:style>
  <w:style w:type="character" w:styleId="8">
    <w:name w:val="HTML Definition"/>
    <w:basedOn w:val="4"/>
    <w:qFormat/>
    <w:uiPriority w:val="0"/>
  </w:style>
  <w:style w:type="character" w:styleId="9">
    <w:name w:val="HTML Variable"/>
    <w:basedOn w:val="4"/>
    <w:qFormat/>
    <w:uiPriority w:val="0"/>
  </w:style>
  <w:style w:type="character" w:styleId="10">
    <w:name w:val="Hyperlink"/>
    <w:basedOn w:val="4"/>
    <w:qFormat/>
    <w:uiPriority w:val="0"/>
    <w:rPr>
      <w:color w:val="0000FF"/>
      <w:u w:val="single"/>
    </w:rPr>
  </w:style>
  <w:style w:type="character" w:styleId="11">
    <w:name w:val="HTML Code"/>
    <w:basedOn w:val="4"/>
    <w:qFormat/>
    <w:uiPriority w:val="0"/>
    <w:rPr>
      <w:rFonts w:ascii="Courier New" w:hAnsi="Courier New"/>
      <w:sz w:val="20"/>
    </w:rPr>
  </w:style>
  <w:style w:type="character" w:styleId="12">
    <w:name w:val="HTML Cite"/>
    <w:basedOn w:val="4"/>
    <w:qFormat/>
    <w:uiPriority w:val="0"/>
  </w:style>
  <w:style w:type="character" w:customStyle="1" w:styleId="13">
    <w:name w:val="layui-laypage-curr"/>
    <w:basedOn w:val="4"/>
    <w:qFormat/>
    <w:uiPriority w:val="0"/>
  </w:style>
  <w:style w:type="character" w:customStyle="1" w:styleId="14">
    <w:name w:val="first-child"/>
    <w:basedOn w:val="4"/>
    <w:qFormat/>
    <w:uiPriority w:val="0"/>
  </w:style>
  <w:style w:type="character" w:customStyle="1" w:styleId="15">
    <w:name w:val="layui-this2"/>
    <w:basedOn w:val="4"/>
    <w:qFormat/>
    <w:uiPriority w:val="0"/>
    <w:rPr>
      <w:bdr w:val="single" w:color="EEEEEE" w:sz="6" w:space="0"/>
      <w:shd w:val="clear" w:fill="FFFFFF"/>
    </w:rPr>
  </w:style>
  <w:style w:type="character" w:customStyle="1" w:styleId="16">
    <w:name w:val="url_name"/>
    <w:basedOn w:val="4"/>
    <w:qFormat/>
    <w:uiPriority w:val="0"/>
    <w:rPr>
      <w:spacing w:val="105"/>
      <w:sz w:val="36"/>
      <w:szCs w:val="36"/>
    </w:rPr>
  </w:style>
  <w:style w:type="character" w:customStyle="1" w:styleId="17">
    <w:name w:val="time"/>
    <w:basedOn w:val="4"/>
    <w:qFormat/>
    <w:uiPriority w:val="0"/>
    <w:rPr>
      <w:color w:val="000000"/>
      <w:sz w:val="24"/>
      <w:szCs w:val="24"/>
    </w:rPr>
  </w:style>
  <w:style w:type="character" w:customStyle="1" w:styleId="18">
    <w:name w:val="before"/>
    <w:basedOn w:val="4"/>
    <w:qFormat/>
    <w:uiPriority w:val="0"/>
    <w:rPr>
      <w:shd w:val="clear" w:fill="245399"/>
    </w:rPr>
  </w:style>
  <w:style w:type="character" w:customStyle="1" w:styleId="19">
    <w:name w:val="time2"/>
    <w:basedOn w:val="4"/>
    <w:qFormat/>
    <w:uiPriority w:val="0"/>
    <w:rPr>
      <w:color w:val="000000"/>
      <w:sz w:val="24"/>
      <w:szCs w:val="24"/>
    </w:rPr>
  </w:style>
  <w:style w:type="character" w:customStyle="1" w:styleId="20">
    <w:name w:val="hover"/>
    <w:basedOn w:val="4"/>
    <w:uiPriority w:val="0"/>
  </w:style>
  <w:style w:type="character" w:customStyle="1" w:styleId="21">
    <w:name w:val="hover1"/>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2350</Words>
  <Characters>2450</Characters>
  <Lines>0</Lines>
  <Paragraphs>0</Paragraphs>
  <TotalTime>13</TotalTime>
  <ScaleCrop>false</ScaleCrop>
  <LinksUpToDate>false</LinksUpToDate>
  <CharactersWithSpaces>2450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2020-01-02T08:12:00Z</dcterms:created>
  <dc:creator>ll</dc:creator>
  <cp:lastModifiedBy>鄂托克前旗水利局(拟稿)</cp:lastModifiedBy>
  <cp:lastPrinted>2023-01-11T06:52:00Z</cp:lastPrinted>
  <dcterms:modified xsi:type="dcterms:W3CDTF">2023-01-11T07:54:33Z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7B2EF5A252D34576A100EF2B6BB91A2B</vt:lpwstr>
  </property>
</Properties>
</file>